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4A4" w:rsidRPr="00351B0E" w:rsidRDefault="00DE34A4" w:rsidP="00DE34A4">
      <w:pPr>
        <w:adjustRightInd w:val="0"/>
        <w:snapToGrid w:val="0"/>
        <w:spacing w:beforeLines="50" w:before="156" w:afterLines="50" w:after="156"/>
        <w:jc w:val="both"/>
        <w:rPr>
          <w:rFonts w:eastAsia="宋体"/>
          <w:bCs/>
          <w:kern w:val="2"/>
          <w:sz w:val="28"/>
          <w:szCs w:val="28"/>
          <w:lang w:val="zh-CN"/>
        </w:rPr>
      </w:pPr>
      <w:r w:rsidRPr="00351B0E">
        <w:rPr>
          <w:rFonts w:eastAsia="宋体" w:hint="eastAsia"/>
          <w:bCs/>
          <w:kern w:val="2"/>
          <w:sz w:val="28"/>
          <w:szCs w:val="28"/>
          <w:lang w:val="zh-CN"/>
        </w:rPr>
        <w:t>附件</w:t>
      </w:r>
      <w:r w:rsidRPr="00351B0E">
        <w:rPr>
          <w:rFonts w:eastAsia="宋体" w:hint="eastAsia"/>
          <w:bCs/>
          <w:kern w:val="2"/>
          <w:sz w:val="28"/>
          <w:szCs w:val="28"/>
          <w:lang w:val="zh-CN"/>
        </w:rPr>
        <w:t>3</w:t>
      </w:r>
      <w:r w:rsidRPr="00351B0E">
        <w:rPr>
          <w:rFonts w:eastAsia="宋体" w:hint="eastAsia"/>
          <w:bCs/>
          <w:kern w:val="2"/>
          <w:sz w:val="28"/>
          <w:szCs w:val="28"/>
          <w:lang w:val="zh-CN"/>
        </w:rPr>
        <w:t>：</w:t>
      </w:r>
    </w:p>
    <w:p w:rsidR="00DE34A4" w:rsidRDefault="00DE34A4" w:rsidP="00DE34A4">
      <w:pPr>
        <w:adjustRightInd w:val="0"/>
        <w:snapToGrid w:val="0"/>
        <w:spacing w:beforeLines="50" w:before="156" w:afterLines="50" w:after="156"/>
        <w:jc w:val="center"/>
        <w:rPr>
          <w:rFonts w:eastAsia="微软雅黑"/>
          <w:b/>
          <w:bCs/>
          <w:sz w:val="28"/>
          <w:szCs w:val="28"/>
        </w:rPr>
      </w:pPr>
      <w:r>
        <w:rPr>
          <w:rFonts w:eastAsia="微软雅黑"/>
          <w:b/>
          <w:bCs/>
          <w:sz w:val="28"/>
          <w:szCs w:val="28"/>
        </w:rPr>
        <w:t>2023</w:t>
      </w:r>
      <w:r>
        <w:rPr>
          <w:rFonts w:eastAsia="微软雅黑"/>
          <w:b/>
          <w:bCs/>
          <w:sz w:val="28"/>
          <w:szCs w:val="28"/>
        </w:rPr>
        <w:t>年湖南科技大学潇湘学院第十届大学生结构设计竞赛</w:t>
      </w:r>
    </w:p>
    <w:p w:rsidR="00DE34A4" w:rsidRDefault="00DE34A4" w:rsidP="00DE34A4">
      <w:pPr>
        <w:adjustRightInd w:val="0"/>
        <w:snapToGrid w:val="0"/>
        <w:spacing w:beforeLines="50" w:before="156" w:afterLines="50" w:after="156"/>
        <w:jc w:val="center"/>
        <w:rPr>
          <w:rFonts w:eastAsia="微软雅黑"/>
          <w:b/>
          <w:bCs/>
          <w:sz w:val="28"/>
          <w:szCs w:val="28"/>
        </w:rPr>
      </w:pPr>
      <w:r>
        <w:rPr>
          <w:rFonts w:eastAsia="微软雅黑"/>
          <w:b/>
          <w:bCs/>
          <w:sz w:val="28"/>
          <w:szCs w:val="28"/>
        </w:rPr>
        <w:t>暨第十届湖南省大学生结构设计竞赛选拔赛赛题</w:t>
      </w:r>
    </w:p>
    <w:p w:rsidR="00DE34A4" w:rsidRDefault="00DE34A4" w:rsidP="00DE34A4">
      <w:pPr>
        <w:spacing w:beforeLines="50" w:before="156" w:afterLines="50" w:after="156"/>
        <w:jc w:val="center"/>
        <w:rPr>
          <w:rFonts w:eastAsia="微软雅黑"/>
          <w:b/>
          <w:bCs/>
          <w:sz w:val="36"/>
          <w:szCs w:val="36"/>
        </w:rPr>
      </w:pPr>
      <w:r>
        <w:rPr>
          <w:rFonts w:eastAsia="微软雅黑"/>
          <w:b/>
          <w:bCs/>
          <w:sz w:val="36"/>
          <w:szCs w:val="36"/>
        </w:rPr>
        <w:t>《撞击荷载下变参数两跨四车道桥梁结构设计与制作》</w:t>
      </w:r>
    </w:p>
    <w:p w:rsidR="00DE34A4" w:rsidRDefault="00DE34A4" w:rsidP="00DE34A4">
      <w:pPr>
        <w:pStyle w:val="1"/>
        <w:numPr>
          <w:ilvl w:val="0"/>
          <w:numId w:val="3"/>
        </w:numPr>
        <w:spacing w:before="156" w:after="156" w:line="240" w:lineRule="auto"/>
        <w:ind w:left="0" w:firstLine="0"/>
        <w:rPr>
          <w:rFonts w:eastAsia="宋体"/>
          <w:sz w:val="32"/>
          <w:szCs w:val="32"/>
        </w:rPr>
      </w:pPr>
      <w:bookmarkStart w:id="0" w:name="_Ref35689644"/>
      <w:bookmarkStart w:id="1" w:name="_Hlk35802797"/>
      <w:r>
        <w:rPr>
          <w:rFonts w:eastAsia="宋体"/>
          <w:sz w:val="32"/>
          <w:szCs w:val="32"/>
        </w:rPr>
        <w:t>命题背景</w:t>
      </w:r>
      <w:bookmarkEnd w:id="0"/>
    </w:p>
    <w:p w:rsidR="00DE34A4" w:rsidRDefault="00DE34A4" w:rsidP="00DE34A4">
      <w:pPr>
        <w:spacing w:line="360" w:lineRule="auto"/>
        <w:ind w:firstLineChars="200" w:firstLine="440"/>
        <w:rPr>
          <w:rFonts w:eastAsia="楷体"/>
        </w:rPr>
      </w:pPr>
      <w:bookmarkStart w:id="2" w:name="_Hlk35802839"/>
      <w:bookmarkStart w:id="3" w:name="_Hlk35802327"/>
      <w:bookmarkEnd w:id="1"/>
      <w:r>
        <w:rPr>
          <w:rFonts w:eastAsia="楷体"/>
        </w:rPr>
        <w:t>随着我国科技发展，桥梁的设计和建造不断挑战极限，有力推动了我国交通强国建设，建成的公路桥梁已超过</w:t>
      </w:r>
      <w:r>
        <w:rPr>
          <w:rFonts w:eastAsia="楷体"/>
        </w:rPr>
        <w:t>80</w:t>
      </w:r>
      <w:r>
        <w:rPr>
          <w:rFonts w:eastAsia="楷体"/>
        </w:rPr>
        <w:t>万座，高铁桥梁总长达</w:t>
      </w:r>
      <w:r>
        <w:rPr>
          <w:rFonts w:eastAsia="楷体"/>
        </w:rPr>
        <w:t>1</w:t>
      </w:r>
      <w:r>
        <w:rPr>
          <w:rFonts w:eastAsia="楷体"/>
        </w:rPr>
        <w:t>万余千米，跨越大江、大河及海洋的桥梁日益增多。与此相对应，在建和已建成的桥梁被撞事故也逐年增加。据统计，长江上发生的船撞桥事故超过</w:t>
      </w:r>
      <w:r>
        <w:rPr>
          <w:rFonts w:eastAsia="楷体"/>
        </w:rPr>
        <w:t>200</w:t>
      </w:r>
      <w:r>
        <w:rPr>
          <w:rFonts w:eastAsia="楷体"/>
        </w:rPr>
        <w:t>起，其中武汉长江大桥被撞就达</w:t>
      </w:r>
      <w:r>
        <w:rPr>
          <w:rFonts w:eastAsia="楷体"/>
        </w:rPr>
        <w:t>68</w:t>
      </w:r>
      <w:r>
        <w:rPr>
          <w:rFonts w:eastAsia="楷体"/>
        </w:rPr>
        <w:t>次。</w:t>
      </w:r>
      <w:r>
        <w:rPr>
          <w:rFonts w:eastAsia="楷体"/>
        </w:rPr>
        <w:t>2007</w:t>
      </w:r>
      <w:r>
        <w:rPr>
          <w:rFonts w:eastAsia="楷体"/>
        </w:rPr>
        <w:t>年</w:t>
      </w:r>
      <w:r>
        <w:rPr>
          <w:rFonts w:eastAsia="楷体"/>
        </w:rPr>
        <w:t>6</w:t>
      </w:r>
      <w:r>
        <w:rPr>
          <w:rFonts w:eastAsia="楷体"/>
        </w:rPr>
        <w:t>月发生的九江大桥桥墩被撞，导致出现</w:t>
      </w:r>
      <w:r>
        <w:rPr>
          <w:rFonts w:eastAsia="楷体"/>
        </w:rPr>
        <w:t>200m</w:t>
      </w:r>
      <w:r>
        <w:rPr>
          <w:rFonts w:eastAsia="楷体"/>
        </w:rPr>
        <w:t>长桥面垮蹋、数人死亡的重大安全事故。大型船舶撞击桥梁事故的严重性引起了越来越多的关注。</w:t>
      </w:r>
    </w:p>
    <w:p w:rsidR="00DE34A4" w:rsidRDefault="00DE34A4" w:rsidP="00DE34A4">
      <w:pPr>
        <w:spacing w:line="360" w:lineRule="auto"/>
        <w:ind w:firstLineChars="200" w:firstLine="440"/>
        <w:rPr>
          <w:rFonts w:eastAsia="楷体"/>
        </w:rPr>
      </w:pPr>
      <w:r>
        <w:rPr>
          <w:rFonts w:eastAsia="楷体"/>
        </w:rPr>
        <w:t>本届赛题以承受移动荷载和撞击荷载的桥梁为对象，通过在赛题中加入部分待定、自选参数，赋予赛题更多的灵活性。</w:t>
      </w:r>
      <w:bookmarkEnd w:id="2"/>
      <w:bookmarkEnd w:id="3"/>
    </w:p>
    <w:p w:rsidR="00DE34A4" w:rsidRDefault="00DE34A4" w:rsidP="00DE34A4">
      <w:pPr>
        <w:pStyle w:val="1"/>
        <w:numPr>
          <w:ilvl w:val="0"/>
          <w:numId w:val="3"/>
        </w:numPr>
        <w:spacing w:before="156" w:after="156" w:line="240" w:lineRule="auto"/>
        <w:ind w:left="0" w:firstLine="0"/>
        <w:rPr>
          <w:rFonts w:eastAsia="宋体"/>
          <w:sz w:val="32"/>
          <w:szCs w:val="32"/>
        </w:rPr>
      </w:pPr>
      <w:r>
        <w:rPr>
          <w:rFonts w:eastAsia="宋体"/>
          <w:sz w:val="32"/>
          <w:szCs w:val="32"/>
        </w:rPr>
        <w:t>结构要求</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结构概述</w:t>
      </w:r>
    </w:p>
    <w:p w:rsidR="00DE34A4" w:rsidRDefault="00DE34A4" w:rsidP="00DE34A4">
      <w:pPr>
        <w:spacing w:line="360" w:lineRule="auto"/>
        <w:ind w:firstLineChars="200" w:firstLine="440"/>
        <w:rPr>
          <w:rFonts w:eastAsia="楷体"/>
        </w:rPr>
      </w:pPr>
      <w:r>
        <w:rPr>
          <w:rFonts w:eastAsia="楷体"/>
        </w:rPr>
        <w:t>要求在设计制作一座两跨四车道桥梁（桥型不限），承受桥面移动荷载和桥墩撞击荷载。在确保结构安全的前提下，还需要对桥梁的变形进行定量控制。加载装置与模型轴测示意图如图</w:t>
      </w:r>
      <w:r>
        <w:rPr>
          <w:rFonts w:eastAsia="楷体"/>
        </w:rPr>
        <w:t>1</w:t>
      </w:r>
      <w:r>
        <w:rPr>
          <w:rFonts w:eastAsia="楷体"/>
        </w:rPr>
        <w:t>。</w:t>
      </w:r>
    </w:p>
    <w:p w:rsidR="00DE34A4" w:rsidRDefault="00DE34A4" w:rsidP="00DE34A4">
      <w:pPr>
        <w:jc w:val="center"/>
      </w:pPr>
      <w:r>
        <w:rPr>
          <w:noProof/>
        </w:rPr>
        <w:lastRenderedPageBreak/>
        <w:drawing>
          <wp:inline distT="0" distB="0" distL="0" distR="0" wp14:anchorId="19E10CD2" wp14:editId="69B59506">
            <wp:extent cx="4295140" cy="2506980"/>
            <wp:effectExtent l="0" t="0" r="0" b="7620"/>
            <wp:docPr id="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10;&#10;描述已自动生成"/>
                    <pic:cNvPicPr>
                      <a:picLocks noChangeAspect="1"/>
                    </pic:cNvPicPr>
                  </pic:nvPicPr>
                  <pic:blipFill>
                    <a:blip r:embed="rId7"/>
                    <a:stretch>
                      <a:fillRect/>
                    </a:stretch>
                  </pic:blipFill>
                  <pic:spPr>
                    <a:xfrm>
                      <a:off x="0" y="0"/>
                      <a:ext cx="4295140" cy="2506980"/>
                    </a:xfrm>
                    <a:prstGeom prst="rect">
                      <a:avLst/>
                    </a:prstGeom>
                  </pic:spPr>
                </pic:pic>
              </a:graphicData>
            </a:graphic>
          </wp:inline>
        </w:drawing>
      </w:r>
    </w:p>
    <w:p w:rsidR="00DE34A4" w:rsidRDefault="00DE34A4" w:rsidP="00DE34A4">
      <w:pPr>
        <w:jc w:val="center"/>
      </w:pPr>
      <w:r>
        <w:rPr>
          <w:rFonts w:eastAsia="楷体"/>
          <w:sz w:val="21"/>
          <w:szCs w:val="21"/>
        </w:rPr>
        <w:t>图</w:t>
      </w:r>
      <w:r>
        <w:rPr>
          <w:rFonts w:eastAsia="楷体"/>
          <w:sz w:val="21"/>
          <w:szCs w:val="21"/>
        </w:rPr>
        <w:t xml:space="preserve">1 </w:t>
      </w:r>
      <w:r>
        <w:rPr>
          <w:rFonts w:eastAsia="楷体"/>
          <w:sz w:val="21"/>
          <w:szCs w:val="21"/>
        </w:rPr>
        <w:t>加载装置与模型轴测示意图</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桥梁结构的边界条件</w:t>
      </w:r>
    </w:p>
    <w:p w:rsidR="00DE34A4" w:rsidRDefault="00DE34A4" w:rsidP="00DE34A4">
      <w:r>
        <w:t>结构加载装置与模型示意平面及立面图如</w:t>
      </w:r>
      <w:r>
        <w:t>2</w:t>
      </w:r>
      <w:r>
        <w:t>所示。</w:t>
      </w:r>
    </w:p>
    <w:tbl>
      <w:tblPr>
        <w:tblW w:w="0" w:type="auto"/>
        <w:tblLook w:val="04A0" w:firstRow="1" w:lastRow="0" w:firstColumn="1" w:lastColumn="0" w:noHBand="0" w:noVBand="1"/>
      </w:tblPr>
      <w:tblGrid>
        <w:gridCol w:w="8528"/>
      </w:tblGrid>
      <w:tr w:rsidR="00DE34A4" w:rsidTr="00CF44D4">
        <w:trPr>
          <w:trHeight w:val="6022"/>
        </w:trPr>
        <w:tc>
          <w:tcPr>
            <w:tcW w:w="8528" w:type="dxa"/>
          </w:tcPr>
          <w:p w:rsidR="00DE34A4" w:rsidRDefault="00DE34A4" w:rsidP="00CF44D4">
            <w:pPr>
              <w:pStyle w:val="a9"/>
              <w:rPr>
                <w:rFonts w:ascii="Times New Roman" w:hAnsi="Times New Roman"/>
              </w:rPr>
            </w:pPr>
            <w:r>
              <w:rPr>
                <w:rFonts w:ascii="Times New Roman" w:hAnsi="Times New Roman"/>
                <w:noProof/>
              </w:rPr>
              <w:drawing>
                <wp:inline distT="0" distB="0" distL="0" distR="0" wp14:anchorId="762304FB" wp14:editId="3883106A">
                  <wp:extent cx="5255260" cy="3260725"/>
                  <wp:effectExtent l="0" t="0" r="0" b="0"/>
                  <wp:docPr id="6" name="图片 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示&#10;&#10;描述已自动生成"/>
                          <pic:cNvPicPr>
                            <a:picLocks noChangeAspect="1"/>
                          </pic:cNvPicPr>
                        </pic:nvPicPr>
                        <pic:blipFill>
                          <a:blip r:embed="rId8"/>
                          <a:stretch>
                            <a:fillRect/>
                          </a:stretch>
                        </pic:blipFill>
                        <pic:spPr>
                          <a:xfrm>
                            <a:off x="0" y="0"/>
                            <a:ext cx="5280440" cy="3276389"/>
                          </a:xfrm>
                          <a:prstGeom prst="rect">
                            <a:avLst/>
                          </a:prstGeom>
                        </pic:spPr>
                      </pic:pic>
                    </a:graphicData>
                  </a:graphic>
                </wp:inline>
              </w:drawing>
            </w:r>
          </w:p>
        </w:tc>
      </w:tr>
      <w:tr w:rsidR="00DE34A4" w:rsidTr="00CF44D4">
        <w:tc>
          <w:tcPr>
            <w:tcW w:w="8528" w:type="dxa"/>
          </w:tcPr>
          <w:p w:rsidR="00DE34A4" w:rsidRDefault="00DE34A4" w:rsidP="00CF44D4">
            <w:pPr>
              <w:pStyle w:val="a9"/>
              <w:ind w:firstLine="420"/>
              <w:rPr>
                <w:rFonts w:ascii="Times New Roman" w:hAnsi="Times New Roman"/>
                <w:b/>
                <w:sz w:val="21"/>
                <w:szCs w:val="21"/>
              </w:rPr>
            </w:pPr>
            <w:r>
              <w:rPr>
                <w:rFonts w:ascii="Times New Roman" w:hAnsi="Times New Roman"/>
                <w:sz w:val="21"/>
                <w:szCs w:val="21"/>
              </w:rPr>
              <w:t>（</w:t>
            </w:r>
            <w:r>
              <w:rPr>
                <w:rFonts w:ascii="Times New Roman" w:hAnsi="Times New Roman"/>
                <w:sz w:val="21"/>
                <w:szCs w:val="21"/>
              </w:rPr>
              <w:t>a</w:t>
            </w:r>
            <w:r>
              <w:rPr>
                <w:rFonts w:ascii="Times New Roman" w:hAnsi="Times New Roman"/>
                <w:sz w:val="21"/>
                <w:szCs w:val="21"/>
              </w:rPr>
              <w:t>）加载装置与模型示意平面图</w:t>
            </w:r>
          </w:p>
        </w:tc>
      </w:tr>
      <w:tr w:rsidR="00DE34A4" w:rsidTr="00CF44D4">
        <w:trPr>
          <w:trHeight w:val="5370"/>
        </w:trPr>
        <w:tc>
          <w:tcPr>
            <w:tcW w:w="8528" w:type="dxa"/>
          </w:tcPr>
          <w:p w:rsidR="00DE34A4" w:rsidRDefault="00DE34A4" w:rsidP="00CF44D4">
            <w:pPr>
              <w:pStyle w:val="a9"/>
              <w:rPr>
                <w:rFonts w:ascii="Times New Roman" w:hAnsi="Times New Roman"/>
                <w:b/>
                <w:sz w:val="21"/>
                <w:szCs w:val="21"/>
              </w:rPr>
            </w:pPr>
            <w:r>
              <w:rPr>
                <w:rFonts w:ascii="Times New Roman" w:hAnsi="Times New Roman"/>
                <w:noProof/>
              </w:rPr>
              <w:lastRenderedPageBreak/>
              <w:drawing>
                <wp:inline distT="0" distB="0" distL="0" distR="0" wp14:anchorId="17197678" wp14:editId="46E2A9C4">
                  <wp:extent cx="5128260" cy="2592070"/>
                  <wp:effectExtent l="0" t="0" r="0" b="0"/>
                  <wp:docPr id="7" name="图片 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10;&#10;描述已自动生成"/>
                          <pic:cNvPicPr>
                            <a:picLocks noChangeAspect="1"/>
                          </pic:cNvPicPr>
                        </pic:nvPicPr>
                        <pic:blipFill>
                          <a:blip r:embed="rId9"/>
                          <a:stretch>
                            <a:fillRect/>
                          </a:stretch>
                        </pic:blipFill>
                        <pic:spPr>
                          <a:xfrm>
                            <a:off x="0" y="0"/>
                            <a:ext cx="5160503" cy="2608761"/>
                          </a:xfrm>
                          <a:prstGeom prst="rect">
                            <a:avLst/>
                          </a:prstGeom>
                        </pic:spPr>
                      </pic:pic>
                    </a:graphicData>
                  </a:graphic>
                </wp:inline>
              </w:drawing>
            </w:r>
          </w:p>
        </w:tc>
      </w:tr>
      <w:tr w:rsidR="00DE34A4" w:rsidTr="00CF44D4">
        <w:tc>
          <w:tcPr>
            <w:tcW w:w="8528" w:type="dxa"/>
          </w:tcPr>
          <w:p w:rsidR="00DE34A4" w:rsidRDefault="00DE34A4" w:rsidP="00CF44D4">
            <w:pPr>
              <w:pStyle w:val="a9"/>
              <w:ind w:firstLine="420"/>
              <w:rPr>
                <w:rFonts w:ascii="Times New Roman" w:hAnsi="Times New Roman"/>
                <w:sz w:val="21"/>
                <w:szCs w:val="21"/>
              </w:rPr>
            </w:pPr>
            <w:r>
              <w:rPr>
                <w:rFonts w:ascii="Times New Roman" w:hAnsi="Times New Roman"/>
                <w:sz w:val="21"/>
                <w:szCs w:val="21"/>
              </w:rPr>
              <w:t>（</w:t>
            </w:r>
            <w:r>
              <w:rPr>
                <w:rFonts w:ascii="Times New Roman" w:hAnsi="Times New Roman"/>
                <w:sz w:val="21"/>
                <w:szCs w:val="21"/>
              </w:rPr>
              <w:t>b</w:t>
            </w:r>
            <w:r>
              <w:rPr>
                <w:rFonts w:ascii="Times New Roman" w:hAnsi="Times New Roman"/>
                <w:sz w:val="21"/>
                <w:szCs w:val="21"/>
              </w:rPr>
              <w:t>）加载装置与模型示意立面图（不含撞击加载装置）</w:t>
            </w:r>
          </w:p>
          <w:p w:rsidR="00DE34A4" w:rsidRDefault="00DE34A4" w:rsidP="00CF44D4">
            <w:pPr>
              <w:pStyle w:val="5"/>
              <w:keepNext w:val="0"/>
              <w:keepLines w:val="0"/>
              <w:spacing w:afterLines="0"/>
              <w:rPr>
                <w:rFonts w:ascii="Times New Roman" w:hAnsi="Times New Roman"/>
              </w:rPr>
            </w:pPr>
            <w:r>
              <w:rPr>
                <w:rFonts w:ascii="Times New Roman" w:hAnsi="Times New Roman"/>
              </w:rPr>
              <w:t>加载装置与模型示意图</w:t>
            </w:r>
            <w:r>
              <w:rPr>
                <w:rFonts w:ascii="Times New Roman" w:hAnsi="Times New Roman"/>
              </w:rPr>
              <w:t xml:space="preserve"> </w:t>
            </w:r>
            <w:r>
              <w:rPr>
                <w:rFonts w:ascii="Times New Roman" w:hAnsi="Times New Roman"/>
              </w:rPr>
              <w:t>（单位：</w:t>
            </w:r>
            <w:r>
              <w:rPr>
                <w:rFonts w:ascii="Times New Roman" w:hAnsi="Times New Roman"/>
              </w:rPr>
              <w:t>mm</w:t>
            </w:r>
            <w:r>
              <w:rPr>
                <w:rFonts w:ascii="Times New Roman" w:hAnsi="Times New Roman"/>
              </w:rPr>
              <w:t>）</w:t>
            </w:r>
            <w:r>
              <w:rPr>
                <w:rFonts w:ascii="Times New Roman" w:hAnsi="Times New Roman"/>
              </w:rPr>
              <w:t>(</w:t>
            </w:r>
            <w:r>
              <w:rPr>
                <w:rFonts w:ascii="Times New Roman" w:hAnsi="Times New Roman"/>
              </w:rPr>
              <w:t>此图仅为示意</w:t>
            </w:r>
            <w:r>
              <w:rPr>
                <w:rFonts w:ascii="Times New Roman" w:hAnsi="Times New Roman"/>
              </w:rPr>
              <w:t>)</w:t>
            </w:r>
          </w:p>
        </w:tc>
      </w:tr>
    </w:tbl>
    <w:p w:rsidR="00DE34A4" w:rsidRDefault="00DE34A4" w:rsidP="00DE34A4">
      <w:pPr>
        <w:pStyle w:val="3"/>
        <w:keepNext w:val="0"/>
        <w:keepLines w:val="0"/>
        <w:numPr>
          <w:ilvl w:val="2"/>
          <w:numId w:val="3"/>
        </w:numPr>
        <w:ind w:left="566" w:hanging="566"/>
      </w:pPr>
      <w:r>
        <w:t>桥岸</w:t>
      </w:r>
    </w:p>
    <w:p w:rsidR="00DE34A4" w:rsidRDefault="00DE34A4" w:rsidP="00DE34A4">
      <w:pPr>
        <w:pStyle w:val="MTDisplayEquation"/>
        <w:widowControl w:val="0"/>
        <w:ind w:left="480" w:hangingChars="200" w:hanging="480"/>
      </w:pPr>
      <w:r>
        <w:t>如</w:t>
      </w:r>
      <w:r>
        <w:fldChar w:fldCharType="begin"/>
      </w:r>
      <w:r>
        <w:instrText xml:space="preserve"> REF _Ref30078754 \r \h  \* MERGEFORMAT </w:instrText>
      </w:r>
      <w:r>
        <w:fldChar w:fldCharType="separate"/>
      </w:r>
      <w:r>
        <w:t>图</w:t>
      </w:r>
      <w:r>
        <w:t>2</w:t>
      </w:r>
      <w:r>
        <w:fldChar w:fldCharType="end"/>
      </w:r>
      <w:r>
        <w:t>所示，桥梁结构的两端分别连接</w:t>
      </w:r>
      <w:r>
        <w:t>A</w:t>
      </w:r>
      <w:r>
        <w:t>桥岸和</w:t>
      </w:r>
      <w:r>
        <w:t>B</w:t>
      </w:r>
      <w:r>
        <w:t>桥岸。定义</w:t>
      </w:r>
      <w:r>
        <w:t>A</w:t>
      </w:r>
      <w:r>
        <w:t>桥岸内侧立面为</w:t>
      </w:r>
      <w:r>
        <w:fldChar w:fldCharType="begin"/>
      </w:r>
      <w:r>
        <w:instrText xml:space="preserve"> = 1 \* GB3 </w:instrText>
      </w:r>
      <w:r>
        <w:fldChar w:fldCharType="separate"/>
      </w:r>
      <w:r>
        <w:rPr>
          <w:rFonts w:ascii="宋体" w:eastAsia="宋体" w:hAnsi="宋体" w:cs="宋体" w:hint="eastAsia"/>
        </w:rPr>
        <w:t>①</w:t>
      </w:r>
      <w:r>
        <w:fldChar w:fldCharType="end"/>
      </w:r>
      <w:r>
        <w:t>轴线（与桥梁端部接触），定义</w:t>
      </w:r>
      <w:r>
        <w:t>B</w:t>
      </w:r>
      <w:r>
        <w:t>桥岸的内侧立面为</w:t>
      </w:r>
      <w:r>
        <w:fldChar w:fldCharType="begin"/>
      </w:r>
      <w:r>
        <w:instrText xml:space="preserve"> = 4 \* GB3 </w:instrText>
      </w:r>
      <w:r>
        <w:fldChar w:fldCharType="separate"/>
      </w:r>
      <w:r>
        <w:rPr>
          <w:rFonts w:ascii="宋体" w:eastAsia="宋体" w:hAnsi="宋体" w:cs="宋体" w:hint="eastAsia"/>
        </w:rPr>
        <w:t>④</w:t>
      </w:r>
      <w:r>
        <w:fldChar w:fldCharType="end"/>
      </w:r>
      <w:r>
        <w:t>轴线（与桥梁端部接触），两个桥岸的平面投影均以</w:t>
      </w:r>
      <w:r>
        <w:fldChar w:fldCharType="begin"/>
      </w:r>
      <w:r>
        <w:instrText xml:space="preserve"> eq \o\ac(○,</w:instrText>
      </w:r>
      <w:r>
        <w:rPr>
          <w:position w:val="3"/>
          <w:sz w:val="16"/>
        </w:rPr>
        <w:instrText>B</w:instrText>
      </w:r>
      <w:r>
        <w:instrText>)</w:instrText>
      </w:r>
      <w:r>
        <w:fldChar w:fldCharType="end"/>
      </w:r>
      <w:r>
        <w:t>轴线为对称轴。</w:t>
      </w:r>
      <w:r>
        <w:fldChar w:fldCharType="begin"/>
      </w:r>
      <w:r>
        <w:instrText xml:space="preserve"> = 1 \* GB3 </w:instrText>
      </w:r>
      <w:r>
        <w:fldChar w:fldCharType="separate"/>
      </w:r>
      <w:r>
        <w:rPr>
          <w:rFonts w:ascii="宋体" w:eastAsia="宋体" w:hAnsi="宋体" w:cs="宋体" w:hint="eastAsia"/>
        </w:rPr>
        <w:t>①</w:t>
      </w:r>
      <w:r>
        <w:fldChar w:fldCharType="end"/>
      </w:r>
      <w:r>
        <w:t>轴线与</w:t>
      </w:r>
      <w:r>
        <w:fldChar w:fldCharType="begin"/>
      </w:r>
      <w:r>
        <w:instrText xml:space="preserve"> = 4 \* GB3 </w:instrText>
      </w:r>
      <w:r>
        <w:fldChar w:fldCharType="separate"/>
      </w:r>
      <w:r>
        <w:rPr>
          <w:rFonts w:ascii="宋体" w:eastAsia="宋体" w:hAnsi="宋体" w:cs="宋体" w:hint="eastAsia"/>
        </w:rPr>
        <w:t>④</w:t>
      </w:r>
      <w:r>
        <w:fldChar w:fldCharType="end"/>
      </w:r>
      <w:r>
        <w:t>轴线的间距为</w:t>
      </w:r>
      <w:r>
        <w:t>1225mm</w:t>
      </w:r>
      <w:r>
        <w:t>。</w:t>
      </w:r>
    </w:p>
    <w:p w:rsidR="00DE34A4" w:rsidRDefault="00DE34A4" w:rsidP="00DE34A4">
      <w:pPr>
        <w:pStyle w:val="MTDisplayEquation"/>
        <w:widowControl w:val="0"/>
        <w:ind w:left="480" w:hangingChars="200" w:hanging="480"/>
      </w:pPr>
      <w:r>
        <w:t>A</w:t>
      </w:r>
      <w:r>
        <w:t>、</w:t>
      </w:r>
      <w:r>
        <w:t>B</w:t>
      </w:r>
      <w:r>
        <w:t>桥岸顺桥长度均为</w:t>
      </w:r>
      <w:r>
        <w:t>450mm</w:t>
      </w:r>
      <w:r>
        <w:t>，宽度均为</w:t>
      </w:r>
      <w:r>
        <w:t>330mm</w:t>
      </w:r>
      <w:r>
        <w:t>，定义桥岸顶面（未铺桥面板）标高为</w:t>
      </w:r>
      <w:r>
        <w:t>±0.00</w:t>
      </w:r>
      <w:r>
        <w:t>。</w:t>
      </w:r>
      <w:r>
        <w:t>A</w:t>
      </w:r>
      <w:r>
        <w:t>、</w:t>
      </w:r>
      <w:r>
        <w:t>B</w:t>
      </w:r>
      <w:r>
        <w:t>桥岸两侧面均设有钢夹板，钢夹板长</w:t>
      </w:r>
      <w:r>
        <w:t>370mm</w:t>
      </w:r>
      <w:r>
        <w:t>，宽</w:t>
      </w:r>
      <w:r>
        <w:t>35mm</w:t>
      </w:r>
      <w:r>
        <w:t>，厚</w:t>
      </w:r>
      <w:r>
        <w:t>4mm</w:t>
      </w:r>
      <w:r>
        <w:t>，通过四个手动螺丝与桥岸侧面连接，通过松动螺丝（</w:t>
      </w:r>
      <w:r>
        <w:rPr>
          <w:b/>
          <w:bCs/>
        </w:rPr>
        <w:t>禁止卸下</w:t>
      </w:r>
      <w:r>
        <w:t>），顺桥方向可移动不超过</w:t>
      </w:r>
      <w:r>
        <w:t>40mm</w:t>
      </w:r>
      <w:r>
        <w:t>，钢夹板用于固定桥端（含斜拉桥、悬索桥拉索等），</w:t>
      </w:r>
      <w:r>
        <w:rPr>
          <w:b/>
          <w:bCs/>
        </w:rPr>
        <w:t>模型可与钢夹板任意位置（含手动螺丝）接触</w:t>
      </w:r>
      <w:r>
        <w:t>；模型可与</w:t>
      </w:r>
      <w:r>
        <w:t>A</w:t>
      </w:r>
      <w:r>
        <w:t>、</w:t>
      </w:r>
      <w:r>
        <w:t>B</w:t>
      </w:r>
      <w:r>
        <w:t>桥岸的底面、三个竖直侧面及凹槽和</w:t>
      </w:r>
      <w:r>
        <w:t>B</w:t>
      </w:r>
      <w:r>
        <w:t>桥岸</w:t>
      </w:r>
      <w:r>
        <w:fldChar w:fldCharType="begin"/>
      </w:r>
      <w:r>
        <w:instrText xml:space="preserve"> = 4 \* GB3 </w:instrText>
      </w:r>
      <w:r>
        <w:fldChar w:fldCharType="separate"/>
      </w:r>
      <w:r>
        <w:rPr>
          <w:rFonts w:ascii="宋体" w:eastAsia="宋体" w:hAnsi="宋体" w:cs="宋体" w:hint="eastAsia"/>
        </w:rPr>
        <w:t>④</w:t>
      </w:r>
      <w:r>
        <w:fldChar w:fldCharType="end"/>
      </w:r>
      <w:r>
        <w:t>轴线左侧</w:t>
      </w:r>
      <w:r>
        <w:t>15mm</w:t>
      </w:r>
      <w:r>
        <w:t>范围的水平平台接触；</w:t>
      </w:r>
      <w:r>
        <w:rPr>
          <w:b/>
          <w:bCs/>
        </w:rPr>
        <w:t>模型不能与桥岸顶面（标高</w:t>
      </w:r>
      <w:r>
        <w:rPr>
          <w:b/>
          <w:bCs/>
        </w:rPr>
        <w:t>±0.00</w:t>
      </w:r>
      <w:r>
        <w:rPr>
          <w:b/>
          <w:bCs/>
        </w:rPr>
        <w:t>处）和外侧端面接触</w:t>
      </w:r>
      <w:r>
        <w:t>；模型与桥岸各部位的接触面均不能用胶水、螺钉等固定。</w:t>
      </w:r>
    </w:p>
    <w:p w:rsidR="00DE34A4" w:rsidRDefault="00DE34A4" w:rsidP="00DE34A4">
      <w:pPr>
        <w:pStyle w:val="MTDisplayEquation"/>
        <w:widowControl w:val="0"/>
        <w:ind w:left="480" w:hangingChars="200" w:hanging="480"/>
      </w:pPr>
      <w:r>
        <w:t>在</w:t>
      </w:r>
      <w:r>
        <w:t>A</w:t>
      </w:r>
      <w:r>
        <w:t>、</w:t>
      </w:r>
      <w:r>
        <w:t>B</w:t>
      </w:r>
      <w:r>
        <w:t>桥岸设置如图</w:t>
      </w:r>
      <w:r>
        <w:t>9</w:t>
      </w:r>
      <w:r>
        <w:t>所示的光幕位移计，光幕位移计对射红外线光点中心标高为</w:t>
      </w:r>
      <w:r>
        <w:t>+137mm</w:t>
      </w:r>
      <w:r>
        <w:t>，用于控制加载过程中桥梁的挠度。</w:t>
      </w:r>
    </w:p>
    <w:bookmarkStart w:id="4" w:name="_Ref35612937"/>
    <w:p w:rsidR="00DE34A4" w:rsidRDefault="00DE34A4" w:rsidP="00DE34A4">
      <w:pPr>
        <w:pStyle w:val="3"/>
        <w:keepNext w:val="0"/>
        <w:keepLines w:val="0"/>
        <w:numPr>
          <w:ilvl w:val="2"/>
          <w:numId w:val="3"/>
        </w:numPr>
        <w:ind w:left="566" w:hanging="566"/>
      </w:pPr>
      <w:r>
        <w:fldChar w:fldCharType="begin"/>
      </w:r>
      <w:r>
        <w:instrText xml:space="preserve"> = 2 \* GB3 </w:instrText>
      </w:r>
      <w:r>
        <w:fldChar w:fldCharType="separate"/>
      </w:r>
      <w:r>
        <w:rPr>
          <w:rFonts w:ascii="宋体" w:eastAsia="宋体" w:hAnsi="宋体" w:cs="宋体" w:hint="eastAsia"/>
        </w:rPr>
        <w:t>②</w:t>
      </w:r>
      <w:r>
        <w:fldChar w:fldCharType="end"/>
      </w:r>
      <w:r>
        <w:t>轴支座</w:t>
      </w:r>
      <w:bookmarkEnd w:id="4"/>
    </w:p>
    <w:p w:rsidR="00DE34A4" w:rsidRDefault="00DE34A4" w:rsidP="00DE34A4">
      <w:pPr>
        <w:pStyle w:val="MTDisplayEquation"/>
        <w:widowControl w:val="0"/>
        <w:numPr>
          <w:ilvl w:val="0"/>
          <w:numId w:val="0"/>
        </w:numPr>
        <w:ind w:firstLineChars="200" w:firstLine="480"/>
      </w:pPr>
      <w:r>
        <w:lastRenderedPageBreak/>
        <w:t>图</w:t>
      </w:r>
      <w:r>
        <w:t>2</w:t>
      </w:r>
      <w:r>
        <w:t>所示，在</w:t>
      </w:r>
      <w:r>
        <w:fldChar w:fldCharType="begin"/>
      </w:r>
      <w:r>
        <w:instrText xml:space="preserve"> = 1 \* GB3 </w:instrText>
      </w:r>
      <w:r>
        <w:fldChar w:fldCharType="separate"/>
      </w:r>
      <w:r>
        <w:rPr>
          <w:rFonts w:ascii="宋体" w:eastAsia="宋体" w:hAnsi="宋体" w:cs="宋体" w:hint="eastAsia"/>
        </w:rPr>
        <w:t>①</w:t>
      </w:r>
      <w:r>
        <w:fldChar w:fldCharType="end"/>
      </w:r>
      <w:r>
        <w:t>轴线的右侧</w:t>
      </w:r>
      <w:r>
        <w:t>25mm</w:t>
      </w:r>
      <w:r>
        <w:t>处设置</w:t>
      </w:r>
      <w:r>
        <w:fldChar w:fldCharType="begin"/>
      </w:r>
      <w:r>
        <w:instrText xml:space="preserve"> = 2 \* GB3 </w:instrText>
      </w:r>
      <w:r>
        <w:fldChar w:fldCharType="separate"/>
      </w:r>
      <w:r>
        <w:rPr>
          <w:rFonts w:ascii="宋体" w:eastAsia="宋体" w:hAnsi="宋体" w:cs="宋体" w:hint="eastAsia"/>
        </w:rPr>
        <w:t>②</w:t>
      </w:r>
      <w:r>
        <w:fldChar w:fldCharType="end"/>
      </w:r>
      <w:r>
        <w:t>轴线。可在</w:t>
      </w:r>
      <w:r>
        <w:fldChar w:fldCharType="begin"/>
      </w:r>
      <w:r>
        <w:instrText xml:space="preserve"> = 2 \* GB3 </w:instrText>
      </w:r>
      <w:r>
        <w:fldChar w:fldCharType="separate"/>
      </w:r>
      <w:r>
        <w:rPr>
          <w:rFonts w:ascii="宋体" w:eastAsia="宋体" w:hAnsi="宋体" w:cs="宋体" w:hint="eastAsia"/>
        </w:rPr>
        <w:t>②</w:t>
      </w:r>
      <w:r>
        <w:fldChar w:fldCharType="end"/>
      </w:r>
      <w:r>
        <w:t>轴线的左右两侧各</w:t>
      </w:r>
      <w:r>
        <w:t>25mm</w:t>
      </w:r>
      <w:r>
        <w:t>范围和</w:t>
      </w:r>
      <w:r>
        <w:fldChar w:fldCharType="begin"/>
      </w:r>
      <w:r>
        <w:instrText xml:space="preserve"> eq \o\ac(○,</w:instrText>
      </w:r>
      <w:r>
        <w:rPr>
          <w:position w:val="3"/>
          <w:sz w:val="16"/>
        </w:rPr>
        <w:instrText>B</w:instrText>
      </w:r>
      <w:r>
        <w:instrText>)</w:instrText>
      </w:r>
      <w:r>
        <w:fldChar w:fldCharType="end"/>
      </w:r>
      <w:r>
        <w:t>轴线的上下两侧各</w:t>
      </w:r>
      <w:r>
        <w:t>180mm</w:t>
      </w:r>
      <w:r>
        <w:t>范围围成的区域内设置桥梁支撑结构（桥墩），</w:t>
      </w:r>
      <w:r>
        <w:fldChar w:fldCharType="begin"/>
      </w:r>
      <w:r>
        <w:instrText xml:space="preserve"> = 2 \* GB3 </w:instrText>
      </w:r>
      <w:r>
        <w:fldChar w:fldCharType="separate"/>
      </w:r>
      <w:r>
        <w:rPr>
          <w:rFonts w:ascii="宋体" w:eastAsia="宋体" w:hAnsi="宋体" w:cs="宋体" w:hint="eastAsia"/>
        </w:rPr>
        <w:t>②</w:t>
      </w:r>
      <w:r>
        <w:fldChar w:fldCharType="end"/>
      </w:r>
      <w:r>
        <w:t>轴支座竹板</w:t>
      </w:r>
      <w:r>
        <w:t>a</w:t>
      </w:r>
      <w:r>
        <w:t>能承受竖向荷载，即桥梁支撑结构（桥墩）底面可放置在</w:t>
      </w:r>
      <w:r>
        <w:fldChar w:fldCharType="begin"/>
      </w:r>
      <w:r>
        <w:instrText xml:space="preserve"> = 2 \* GB3 </w:instrText>
      </w:r>
      <w:r>
        <w:fldChar w:fldCharType="separate"/>
      </w:r>
      <w:r>
        <w:rPr>
          <w:rFonts w:ascii="宋体" w:eastAsia="宋体" w:hAnsi="宋体" w:cs="宋体" w:hint="eastAsia"/>
        </w:rPr>
        <w:t>②</w:t>
      </w:r>
      <w:r>
        <w:fldChar w:fldCharType="end"/>
      </w:r>
      <w:r>
        <w:t>轴支座竹板</w:t>
      </w:r>
      <w:r>
        <w:t>a</w:t>
      </w:r>
      <w:r>
        <w:t>规定区域，不能用胶水、螺钉等固定，</w:t>
      </w:r>
      <w:r>
        <w:fldChar w:fldCharType="begin"/>
      </w:r>
      <w:r>
        <w:instrText xml:space="preserve"> = 2 \* GB3 </w:instrText>
      </w:r>
      <w:r>
        <w:fldChar w:fldCharType="separate"/>
      </w:r>
      <w:r>
        <w:rPr>
          <w:rFonts w:ascii="宋体" w:eastAsia="宋体" w:hAnsi="宋体" w:cs="宋体" w:hint="eastAsia"/>
        </w:rPr>
        <w:t>②</w:t>
      </w:r>
      <w:r>
        <w:fldChar w:fldCharType="end"/>
      </w:r>
      <w:r>
        <w:t>轴支座竹板</w:t>
      </w:r>
      <w:r>
        <w:t>a</w:t>
      </w:r>
      <w:r>
        <w:t>顶面标高为</w:t>
      </w:r>
      <m:oMath>
        <m:r>
          <w:rPr>
            <w:rFonts w:ascii="Cambria Math" w:hAnsi="Cambria Math"/>
          </w:rPr>
          <m:t>-250</m:t>
        </m:r>
        <m:r>
          <m:rPr>
            <m:sty m:val="p"/>
          </m:rPr>
          <w:rPr>
            <w:rFonts w:ascii="Cambria Math" w:hAnsi="Cambria Math"/>
          </w:rPr>
          <m:t>mm</m:t>
        </m:r>
      </m:oMath>
      <w:r>
        <w:t>。</w:t>
      </w:r>
    </w:p>
    <w:bookmarkStart w:id="5" w:name="_Ref35643709"/>
    <w:p w:rsidR="00DE34A4" w:rsidRDefault="00DE34A4" w:rsidP="00DE34A4">
      <w:pPr>
        <w:pStyle w:val="3"/>
        <w:keepNext w:val="0"/>
        <w:keepLines w:val="0"/>
        <w:numPr>
          <w:ilvl w:val="2"/>
          <w:numId w:val="3"/>
        </w:numPr>
        <w:ind w:left="566" w:hanging="566"/>
      </w:pPr>
      <w:r>
        <w:fldChar w:fldCharType="begin"/>
      </w:r>
      <w:r>
        <w:instrText xml:space="preserve"> = 3 \* GB3 </w:instrText>
      </w:r>
      <w:r>
        <w:fldChar w:fldCharType="separate"/>
      </w:r>
      <w:r>
        <w:rPr>
          <w:rFonts w:ascii="宋体" w:eastAsia="宋体" w:hAnsi="宋体" w:cs="宋体" w:hint="eastAsia"/>
        </w:rPr>
        <w:t>③</w:t>
      </w:r>
      <w:r>
        <w:fldChar w:fldCharType="end"/>
      </w:r>
      <w:r>
        <w:t>轴支座</w:t>
      </w:r>
      <w:bookmarkEnd w:id="5"/>
    </w:p>
    <w:p w:rsidR="00DE34A4" w:rsidRDefault="00DE34A4" w:rsidP="00DE34A4">
      <w:pPr>
        <w:pStyle w:val="MTDisplayEquation"/>
        <w:widowControl w:val="0"/>
        <w:numPr>
          <w:ilvl w:val="0"/>
          <w:numId w:val="0"/>
        </w:numPr>
        <w:ind w:firstLineChars="200" w:firstLine="480"/>
      </w:pPr>
      <w:r>
        <w:t>图</w:t>
      </w:r>
      <w:r>
        <w:t>2</w:t>
      </w:r>
      <w:r>
        <w:t>所示，在轴线</w:t>
      </w:r>
      <w:r>
        <w:fldChar w:fldCharType="begin"/>
      </w:r>
      <w:r>
        <w:instrText xml:space="preserve"> = 2 \* GB3 </w:instrText>
      </w:r>
      <w:r>
        <w:fldChar w:fldCharType="separate"/>
      </w:r>
      <w:r>
        <w:rPr>
          <w:rFonts w:ascii="宋体" w:eastAsia="宋体" w:hAnsi="宋体" w:cs="宋体" w:hint="eastAsia"/>
        </w:rPr>
        <w:t>②</w:t>
      </w:r>
      <w:r>
        <w:fldChar w:fldCharType="end"/>
      </w:r>
      <w:r>
        <w:t>、</w:t>
      </w:r>
      <w:r>
        <w:fldChar w:fldCharType="begin"/>
      </w:r>
      <w:r>
        <w:instrText xml:space="preserve"> = 4 \* GB3 </w:instrText>
      </w:r>
      <w:r>
        <w:fldChar w:fldCharType="separate"/>
      </w:r>
      <w:r>
        <w:rPr>
          <w:rFonts w:ascii="宋体" w:eastAsia="宋体" w:hAnsi="宋体" w:cs="宋体" w:hint="eastAsia"/>
        </w:rPr>
        <w:t>④</w:t>
      </w:r>
      <w:r>
        <w:fldChar w:fldCharType="end"/>
      </w:r>
      <w:r>
        <w:t>之间设置</w:t>
      </w:r>
      <w:r>
        <w:fldChar w:fldCharType="begin"/>
      </w:r>
      <w:r>
        <w:instrText xml:space="preserve"> = 3 \* GB3 </w:instrText>
      </w:r>
      <w:r>
        <w:fldChar w:fldCharType="separate"/>
      </w:r>
      <w:r>
        <w:rPr>
          <w:rFonts w:ascii="宋体" w:eastAsia="宋体" w:hAnsi="宋体" w:cs="宋体" w:hint="eastAsia"/>
        </w:rPr>
        <w:t>③</w:t>
      </w:r>
      <w:r>
        <w:fldChar w:fldCharType="end"/>
      </w:r>
      <w:r>
        <w:t>轴线。</w:t>
      </w:r>
      <w:r>
        <w:fldChar w:fldCharType="begin"/>
      </w:r>
      <w:r>
        <w:instrText xml:space="preserve"> = 3 \* GB3 </w:instrText>
      </w:r>
      <w:r>
        <w:fldChar w:fldCharType="separate"/>
      </w:r>
      <w:r>
        <w:rPr>
          <w:rFonts w:ascii="宋体" w:eastAsia="宋体" w:hAnsi="宋体" w:cs="宋体" w:hint="eastAsia"/>
        </w:rPr>
        <w:t>③</w:t>
      </w:r>
      <w:r>
        <w:fldChar w:fldCharType="end"/>
      </w:r>
      <w:r>
        <w:t>轴线与</w:t>
      </w:r>
      <w:r>
        <w:fldChar w:fldCharType="begin"/>
      </w:r>
      <w:r>
        <w:instrText xml:space="preserve"> = 2 \* GB3 </w:instrText>
      </w:r>
      <w:r>
        <w:fldChar w:fldCharType="separate"/>
      </w:r>
      <w:r>
        <w:rPr>
          <w:rFonts w:ascii="宋体" w:eastAsia="宋体" w:hAnsi="宋体" w:cs="宋体" w:hint="eastAsia"/>
        </w:rPr>
        <w:t>②</w:t>
      </w:r>
      <w:r>
        <w:fldChar w:fldCharType="end"/>
      </w:r>
      <w:r>
        <w:t>轴线的距离为桥梁主跨</w:t>
      </w:r>
      <w:r>
        <w:t>L1</w:t>
      </w:r>
      <w:r>
        <w:t>，</w:t>
      </w:r>
      <w:r>
        <w:t>L1</w:t>
      </w:r>
      <w:r>
        <w:t>的取值为</w:t>
      </w:r>
      <w:r>
        <w:t>650mm</w:t>
      </w:r>
      <w:r>
        <w:t>、</w:t>
      </w:r>
      <w:r>
        <w:t>750mm</w:t>
      </w:r>
      <w:r>
        <w:t>、</w:t>
      </w:r>
      <w:r>
        <w:t>850mm</w:t>
      </w:r>
      <w:r>
        <w:t>、</w:t>
      </w:r>
      <w:r>
        <w:t>950mm</w:t>
      </w:r>
      <w:r>
        <w:t>之一，即</w:t>
      </w:r>
      <w:r>
        <w:fldChar w:fldCharType="begin"/>
      </w:r>
      <w:r>
        <w:instrText xml:space="preserve"> = 3 \* GB3 </w:instrText>
      </w:r>
      <w:r>
        <w:fldChar w:fldCharType="separate"/>
      </w:r>
      <w:r>
        <w:rPr>
          <w:rFonts w:ascii="宋体" w:eastAsia="宋体" w:hAnsi="宋体" w:cs="宋体" w:hint="eastAsia"/>
        </w:rPr>
        <w:t>③</w:t>
      </w:r>
      <w:r>
        <w:fldChar w:fldCharType="end"/>
      </w:r>
      <w:r>
        <w:t>轴线位置（主跨</w:t>
      </w:r>
      <w:r>
        <w:t>L1</w:t>
      </w:r>
      <w:r>
        <w:t>）为自选参数，参赛队伍从四个位置中自选。可在</w:t>
      </w:r>
      <w:r>
        <w:fldChar w:fldCharType="begin"/>
      </w:r>
      <w:r>
        <w:instrText xml:space="preserve"> = 3 \* GB3 </w:instrText>
      </w:r>
      <w:r>
        <w:fldChar w:fldCharType="separate"/>
      </w:r>
      <w:r>
        <w:rPr>
          <w:rFonts w:ascii="宋体" w:eastAsia="宋体" w:hAnsi="宋体" w:cs="宋体" w:hint="eastAsia"/>
        </w:rPr>
        <w:t>③</w:t>
      </w:r>
      <w:r>
        <w:fldChar w:fldCharType="end"/>
      </w:r>
      <w:r>
        <w:t>轴线的左右两侧各</w:t>
      </w:r>
      <w:r>
        <w:t>50mm</w:t>
      </w:r>
      <w:r>
        <w:t>范围和</w:t>
      </w:r>
      <w:r>
        <w:fldChar w:fldCharType="begin"/>
      </w:r>
      <w:r>
        <w:instrText xml:space="preserve"> eq \o\ac(○,B)</w:instrText>
      </w:r>
      <w:r>
        <w:fldChar w:fldCharType="end"/>
      </w:r>
      <w:r>
        <w:t>轴线的上下两侧各</w:t>
      </w:r>
      <w:r>
        <w:t>180mm</w:t>
      </w:r>
      <w:r>
        <w:t>范围围成的区域内设置桥墩，桥墩底部与</w:t>
      </w:r>
      <w:r>
        <w:fldChar w:fldCharType="begin"/>
      </w:r>
      <w:r>
        <w:instrText xml:space="preserve"> = 3 \* GB3 </w:instrText>
      </w:r>
      <w:r>
        <w:fldChar w:fldCharType="separate"/>
      </w:r>
      <w:r>
        <w:rPr>
          <w:rFonts w:ascii="宋体" w:eastAsia="宋体" w:hAnsi="宋体" w:cs="宋体" w:hint="eastAsia"/>
        </w:rPr>
        <w:t>③</w:t>
      </w:r>
      <w:r>
        <w:fldChar w:fldCharType="end"/>
      </w:r>
      <w:r>
        <w:t>轴支座竹板</w:t>
      </w:r>
      <w:r>
        <w:t>b</w:t>
      </w:r>
      <w:r>
        <w:t>之间用螺钉连接，</w:t>
      </w:r>
      <w:r>
        <w:fldChar w:fldCharType="begin"/>
      </w:r>
      <w:r>
        <w:instrText xml:space="preserve"> = 3 \* GB3 </w:instrText>
      </w:r>
      <w:r>
        <w:fldChar w:fldCharType="separate"/>
      </w:r>
      <w:r>
        <w:rPr>
          <w:rFonts w:ascii="宋体" w:eastAsia="宋体" w:hAnsi="宋体" w:cs="宋体" w:hint="eastAsia"/>
        </w:rPr>
        <w:t>③</w:t>
      </w:r>
      <w:r>
        <w:fldChar w:fldCharType="end"/>
      </w:r>
      <w:r>
        <w:t>轴支座竹板</w:t>
      </w:r>
      <w:r>
        <w:t>b</w:t>
      </w:r>
      <w:r>
        <w:t>顶面标高为</w:t>
      </w:r>
      <m:oMath>
        <m:r>
          <m:rPr>
            <m:sty m:val="p"/>
          </m:rPr>
          <w:rPr>
            <w:rFonts w:ascii="Cambria Math" w:hAnsi="Cambria Math"/>
          </w:rPr>
          <m:t>-250mm</m:t>
        </m:r>
      </m:oMath>
      <w:r>
        <w:t>。</w:t>
      </w:r>
    </w:p>
    <w:p w:rsidR="00DE34A4" w:rsidRDefault="00DE34A4" w:rsidP="00DE34A4">
      <w:pPr>
        <w:pStyle w:val="3"/>
        <w:keepNext w:val="0"/>
        <w:keepLines w:val="0"/>
        <w:numPr>
          <w:ilvl w:val="2"/>
          <w:numId w:val="3"/>
        </w:numPr>
        <w:ind w:left="566" w:hanging="566"/>
      </w:pPr>
      <w:r>
        <w:fldChar w:fldCharType="begin"/>
      </w:r>
      <w:r>
        <w:instrText xml:space="preserve"> = 4 \* GB3 </w:instrText>
      </w:r>
      <w:r>
        <w:fldChar w:fldCharType="separate"/>
      </w:r>
      <w:r>
        <w:rPr>
          <w:rFonts w:ascii="宋体" w:eastAsia="宋体" w:hAnsi="宋体" w:cs="宋体" w:hint="eastAsia"/>
        </w:rPr>
        <w:t>④</w:t>
      </w:r>
      <w:r>
        <w:fldChar w:fldCharType="end"/>
      </w:r>
      <w:r>
        <w:t>轴支座</w:t>
      </w:r>
    </w:p>
    <w:p w:rsidR="00DE34A4" w:rsidRDefault="00DE34A4" w:rsidP="00DE34A4">
      <w:pPr>
        <w:pStyle w:val="MTDisplayEquation"/>
        <w:widowControl w:val="0"/>
        <w:numPr>
          <w:ilvl w:val="0"/>
          <w:numId w:val="0"/>
        </w:numPr>
        <w:ind w:firstLineChars="200" w:firstLine="480"/>
      </w:pPr>
      <w:r>
        <w:t>图</w:t>
      </w:r>
      <w:r>
        <w:t>2</w:t>
      </w:r>
      <w:r>
        <w:t>所示，</w:t>
      </w:r>
      <w:r>
        <w:fldChar w:fldCharType="begin"/>
      </w:r>
      <w:r>
        <w:instrText xml:space="preserve"> = 3 \* GB3 </w:instrText>
      </w:r>
      <w:r>
        <w:fldChar w:fldCharType="separate"/>
      </w:r>
      <w:r>
        <w:rPr>
          <w:rFonts w:ascii="宋体" w:eastAsia="宋体" w:hAnsi="宋体" w:cs="宋体" w:hint="eastAsia"/>
        </w:rPr>
        <w:t>③</w:t>
      </w:r>
      <w:r>
        <w:fldChar w:fldCharType="end"/>
      </w:r>
      <w:r>
        <w:t>轴线与</w:t>
      </w:r>
      <w:r>
        <w:fldChar w:fldCharType="begin"/>
      </w:r>
      <w:r>
        <w:instrText xml:space="preserve"> = 4 \* GB3 </w:instrText>
      </w:r>
      <w:r>
        <w:fldChar w:fldCharType="separate"/>
      </w:r>
      <w:r>
        <w:rPr>
          <w:rFonts w:ascii="宋体" w:eastAsia="宋体" w:hAnsi="宋体" w:cs="宋体" w:hint="eastAsia"/>
        </w:rPr>
        <w:t>④</w:t>
      </w:r>
      <w:r>
        <w:fldChar w:fldCharType="end"/>
      </w:r>
      <w:r>
        <w:t>轴线的距离为桥梁次跨</w:t>
      </w:r>
      <w:r>
        <w:t>L</w:t>
      </w:r>
      <w:r>
        <w:rPr>
          <w:vertAlign w:val="subscript"/>
        </w:rPr>
        <w:t>2</w:t>
      </w:r>
      <w:r>
        <w:t>，</w:t>
      </w:r>
      <w:r>
        <w:t>L</w:t>
      </w:r>
      <w:r>
        <w:rPr>
          <w:vertAlign w:val="subscript"/>
        </w:rPr>
        <w:t>2</w:t>
      </w:r>
      <w:r>
        <w:t>的取值为</w:t>
      </w:r>
      <w:r>
        <w:t>550mm</w:t>
      </w:r>
      <w:r>
        <w:t>、</w:t>
      </w:r>
      <w:r>
        <w:t>450mm</w:t>
      </w:r>
      <w:r>
        <w:t>、</w:t>
      </w:r>
      <w:r>
        <w:t>350mm</w:t>
      </w:r>
      <w:r>
        <w:t>、</w:t>
      </w:r>
      <w:r>
        <w:t>250mm</w:t>
      </w:r>
      <w:r>
        <w:t>之一，，通过</w:t>
      </w:r>
      <w:r>
        <w:t>L</w:t>
      </w:r>
      <w:r>
        <w:rPr>
          <w:vertAlign w:val="subscript"/>
        </w:rPr>
        <w:t>1</w:t>
      </w:r>
      <w:r>
        <w:t>+L</w:t>
      </w:r>
      <w:r>
        <w:rPr>
          <w:vertAlign w:val="subscript"/>
        </w:rPr>
        <w:t>2</w:t>
      </w:r>
      <w:r>
        <w:t>=1200mm</w:t>
      </w:r>
      <w:r>
        <w:t>确定</w:t>
      </w:r>
      <w:r>
        <w:t>L</w:t>
      </w:r>
      <w:r>
        <w:rPr>
          <w:vertAlign w:val="subscript"/>
        </w:rPr>
        <w:t>2</w:t>
      </w:r>
      <w:r>
        <w:t>值，允许在</w:t>
      </w:r>
      <w:r>
        <w:fldChar w:fldCharType="begin"/>
      </w:r>
      <w:r>
        <w:instrText xml:space="preserve"> = 4 \* GB3 </w:instrText>
      </w:r>
      <w:r>
        <w:fldChar w:fldCharType="separate"/>
      </w:r>
      <w:r>
        <w:rPr>
          <w:rFonts w:ascii="宋体" w:eastAsia="宋体" w:hAnsi="宋体" w:cs="宋体" w:hint="eastAsia"/>
        </w:rPr>
        <w:t>④</w:t>
      </w:r>
      <w:r>
        <w:fldChar w:fldCharType="end"/>
      </w:r>
      <w:r>
        <w:t>轴线左侧</w:t>
      </w:r>
      <w:r>
        <w:t>15mm</w:t>
      </w:r>
      <w:r>
        <w:t>范围内设置桥梁支撑结构，即桥梁支撑结构可接触</w:t>
      </w:r>
      <w:r>
        <w:fldChar w:fldCharType="begin"/>
      </w:r>
      <w:r>
        <w:instrText xml:space="preserve"> = 4 \* GB3 </w:instrText>
      </w:r>
      <w:r>
        <w:fldChar w:fldCharType="separate"/>
      </w:r>
      <w:r>
        <w:rPr>
          <w:rFonts w:ascii="宋体" w:eastAsia="宋体" w:hAnsi="宋体" w:cs="宋体" w:hint="eastAsia"/>
        </w:rPr>
        <w:t>④</w:t>
      </w:r>
      <w:r>
        <w:fldChar w:fldCharType="end"/>
      </w:r>
      <w:r>
        <w:t>轴支座规定区域，且不能用螺钉或胶水等固定，</w:t>
      </w:r>
      <w:r>
        <w:fldChar w:fldCharType="begin"/>
      </w:r>
      <w:r>
        <w:instrText xml:space="preserve"> = 4 \* GB3 </w:instrText>
      </w:r>
      <w:r>
        <w:fldChar w:fldCharType="separate"/>
      </w:r>
      <w:r>
        <w:rPr>
          <w:rFonts w:ascii="宋体" w:eastAsia="宋体" w:hAnsi="宋体" w:cs="宋体" w:hint="eastAsia"/>
        </w:rPr>
        <w:t>④</w:t>
      </w:r>
      <w:r>
        <w:fldChar w:fldCharType="end"/>
      </w:r>
      <w:r>
        <w:t>轴左侧支座顶面标高为</w:t>
      </w:r>
      <m:oMath>
        <m:r>
          <w:rPr>
            <w:rFonts w:ascii="Cambria Math" w:hAnsi="Cambria Math"/>
          </w:rPr>
          <m:t>-35</m:t>
        </m:r>
        <m:r>
          <m:rPr>
            <m:sty m:val="p"/>
          </m:rPr>
          <w:rPr>
            <w:rFonts w:ascii="Cambria Math" w:hAnsi="Cambria Math"/>
          </w:rPr>
          <m:t>mm</m:t>
        </m:r>
      </m:oMath>
      <w:r>
        <w:t>。</w:t>
      </w:r>
    </w:p>
    <w:p w:rsidR="00DE34A4" w:rsidRDefault="00DE34A4" w:rsidP="00DE34A4">
      <w:pPr>
        <w:pStyle w:val="3"/>
        <w:keepNext w:val="0"/>
        <w:keepLines w:val="0"/>
        <w:numPr>
          <w:ilvl w:val="2"/>
          <w:numId w:val="3"/>
        </w:numPr>
        <w:ind w:left="566" w:hanging="566"/>
      </w:pPr>
      <w:bookmarkStart w:id="6" w:name="_Ref35939026"/>
      <w:r>
        <w:t>模型与支座的连接</w:t>
      </w:r>
      <w:bookmarkEnd w:id="6"/>
    </w:p>
    <w:p w:rsidR="00DE34A4" w:rsidRDefault="00DE34A4" w:rsidP="00DE34A4">
      <w:pPr>
        <w:pStyle w:val="MTDisplayEquation"/>
        <w:widowControl w:val="0"/>
        <w:numPr>
          <w:ilvl w:val="0"/>
          <w:numId w:val="4"/>
        </w:numPr>
        <w:ind w:left="0" w:firstLine="482"/>
        <w:rPr>
          <w:b/>
          <w:bCs/>
        </w:rPr>
      </w:pPr>
      <w:r>
        <w:t>模型固定在支座竹板上，如图</w:t>
      </w:r>
      <w:r>
        <w:t>3</w:t>
      </w:r>
      <w:r>
        <w:t>所示支座竹板</w:t>
      </w:r>
      <w:r>
        <w:t>a</w:t>
      </w:r>
      <w:r>
        <w:t>外轮廓尺寸为：长</w:t>
      </w:r>
      <w:r>
        <w:t>500mm</w:t>
      </w:r>
      <w:r>
        <w:t>，宽</w:t>
      </w:r>
      <w:r>
        <w:t>80mm</w:t>
      </w:r>
      <w:r>
        <w:t>；支座竹板</w:t>
      </w:r>
      <w:r>
        <w:t>b</w:t>
      </w:r>
      <w:r>
        <w:t>外轮廓尺寸为：长</w:t>
      </w:r>
      <w:r>
        <w:t>500mm</w:t>
      </w:r>
      <w:r>
        <w:t>，宽</w:t>
      </w:r>
      <w:r>
        <w:t>400mm</w:t>
      </w:r>
      <w:r>
        <w:t>。支座竹板厚度为</w:t>
      </w:r>
      <w:r>
        <w:t>15mm</w:t>
      </w:r>
      <w:r>
        <w:t>，两侧开有宽</w:t>
      </w:r>
      <w:r>
        <w:t>14mm</w:t>
      </w:r>
      <w:r>
        <w:t>、长</w:t>
      </w:r>
      <w:r>
        <w:t>15mm</w:t>
      </w:r>
      <w:r>
        <w:t>的凹槽，利用</w:t>
      </w:r>
      <w:r>
        <w:t>T</w:t>
      </w:r>
      <w:r>
        <w:t>形手动螺栓将支座竹板固定在承台顶面，支座竹板表面均标记有田字线，桥墩（含螺钉）仅可与田字线内区域（图</w:t>
      </w:r>
      <w:r>
        <w:t>3</w:t>
      </w:r>
      <w:r>
        <w:t>中的阴影区域）接触，</w:t>
      </w:r>
      <w:r>
        <w:rPr>
          <w:b/>
          <w:bCs/>
        </w:rPr>
        <w:t>其中</w:t>
      </w:r>
      <w:r>
        <w:rPr>
          <w:b/>
          <w:bCs/>
        </w:rPr>
        <w:fldChar w:fldCharType="begin"/>
      </w:r>
      <w:r>
        <w:rPr>
          <w:b/>
          <w:bCs/>
        </w:rPr>
        <w:instrText xml:space="preserve"> = 3 \* GB3 </w:instrText>
      </w:r>
      <w:r>
        <w:rPr>
          <w:b/>
          <w:bCs/>
        </w:rPr>
        <w:fldChar w:fldCharType="separate"/>
      </w:r>
      <w:r>
        <w:rPr>
          <w:rFonts w:ascii="宋体" w:eastAsia="宋体" w:hAnsi="宋体" w:cs="宋体" w:hint="eastAsia"/>
          <w:b/>
          <w:bCs/>
        </w:rPr>
        <w:t>③</w:t>
      </w:r>
      <w:r>
        <w:rPr>
          <w:b/>
          <w:bCs/>
        </w:rPr>
        <w:fldChar w:fldCharType="end"/>
      </w:r>
      <w:r>
        <w:rPr>
          <w:b/>
          <w:bCs/>
        </w:rPr>
        <w:t>轴处桥墩标高</w:t>
      </w:r>
      <w:r>
        <w:rPr>
          <w:b/>
          <w:bCs/>
        </w:rPr>
        <w:t>-150</w:t>
      </w:r>
      <w:r>
        <w:rPr>
          <w:b/>
          <w:bCs/>
        </w:rPr>
        <w:t>以下结构（图</w:t>
      </w:r>
      <w:r>
        <w:rPr>
          <w:b/>
          <w:bCs/>
        </w:rPr>
        <w:t>2</w:t>
      </w:r>
      <w:r>
        <w:rPr>
          <w:b/>
          <w:bCs/>
        </w:rPr>
        <w:t>（</w:t>
      </w:r>
      <w:r>
        <w:rPr>
          <w:b/>
          <w:bCs/>
        </w:rPr>
        <w:t>b</w:t>
      </w:r>
      <w:r>
        <w:rPr>
          <w:b/>
          <w:bCs/>
        </w:rPr>
        <w:t>）所示桥墩斜线区）和螺钉布置必须对称于</w:t>
      </w:r>
      <w:r>
        <w:rPr>
          <w:b/>
          <w:bCs/>
        </w:rPr>
        <w:fldChar w:fldCharType="begin"/>
      </w:r>
      <w:r>
        <w:rPr>
          <w:b/>
          <w:bCs/>
        </w:rPr>
        <w:instrText xml:space="preserve"> = 3 \* GB3 </w:instrText>
      </w:r>
      <w:r>
        <w:rPr>
          <w:b/>
          <w:bCs/>
        </w:rPr>
        <w:fldChar w:fldCharType="separate"/>
      </w:r>
      <w:r>
        <w:rPr>
          <w:rFonts w:ascii="宋体" w:eastAsia="宋体" w:hAnsi="宋体" w:cs="宋体" w:hint="eastAsia"/>
          <w:b/>
          <w:bCs/>
        </w:rPr>
        <w:t>③</w:t>
      </w:r>
      <w:r>
        <w:rPr>
          <w:b/>
          <w:bCs/>
        </w:rPr>
        <w:fldChar w:fldCharType="end"/>
      </w:r>
      <w:r>
        <w:rPr>
          <w:b/>
          <w:bCs/>
        </w:rPr>
        <w:t>轴和</w:t>
      </w:r>
      <w:r>
        <w:rPr>
          <w:b/>
          <w:bCs/>
        </w:rPr>
        <w:fldChar w:fldCharType="begin"/>
      </w:r>
      <w:r>
        <w:rPr>
          <w:b/>
          <w:bCs/>
        </w:rPr>
        <w:instrText xml:space="preserve"> eq \o\ac(○,</w:instrText>
      </w:r>
      <w:r>
        <w:rPr>
          <w:b/>
          <w:bCs/>
          <w:position w:val="3"/>
          <w:sz w:val="16"/>
        </w:rPr>
        <w:instrText>B</w:instrText>
      </w:r>
      <w:r>
        <w:rPr>
          <w:b/>
          <w:bCs/>
        </w:rPr>
        <w:instrText>)</w:instrText>
      </w:r>
      <w:r>
        <w:rPr>
          <w:b/>
          <w:bCs/>
        </w:rPr>
        <w:fldChar w:fldCharType="end"/>
      </w:r>
      <w:r>
        <w:rPr>
          <w:b/>
          <w:bCs/>
        </w:rPr>
        <w:t>轴。</w:t>
      </w:r>
    </w:p>
    <w:p w:rsidR="00DE34A4" w:rsidRDefault="00DE34A4" w:rsidP="00DE34A4">
      <w:pPr>
        <w:pStyle w:val="MTDisplayEquation"/>
        <w:widowControl w:val="0"/>
        <w:numPr>
          <w:ilvl w:val="0"/>
          <w:numId w:val="4"/>
        </w:numPr>
        <w:ind w:left="0" w:firstLine="482"/>
      </w:pPr>
      <w:r>
        <w:t>模型安装时，手动</w:t>
      </w:r>
      <w:r>
        <w:t>T</w:t>
      </w:r>
      <w:r>
        <w:t>型螺栓将支座竹板固定在加载台</w:t>
      </w:r>
      <w:r>
        <w:fldChar w:fldCharType="begin"/>
      </w:r>
      <w:r>
        <w:instrText xml:space="preserve"> eq \o\ac(○,</w:instrText>
      </w:r>
      <w:r>
        <w:rPr>
          <w:position w:val="3"/>
          <w:sz w:val="16"/>
        </w:rPr>
        <w:instrText>A</w:instrText>
      </w:r>
      <w:r>
        <w:instrText>)</w:instrText>
      </w:r>
      <w:r>
        <w:fldChar w:fldCharType="end"/>
      </w:r>
      <w:r>
        <w:t>轴和</w:t>
      </w:r>
      <w:r>
        <w:fldChar w:fldCharType="begin"/>
      </w:r>
      <w:r>
        <w:instrText xml:space="preserve"> eq \o\ac(○,</w:instrText>
      </w:r>
      <w:r>
        <w:rPr>
          <w:position w:val="3"/>
          <w:sz w:val="16"/>
        </w:rPr>
        <w:instrText>C</w:instrText>
      </w:r>
      <w:r>
        <w:instrText>)</w:instrText>
      </w:r>
      <w:r>
        <w:fldChar w:fldCharType="end"/>
      </w:r>
      <w:r>
        <w:t>轴重合的承台纵杆上，两轴线以轴线</w:t>
      </w:r>
      <w:r>
        <w:fldChar w:fldCharType="begin"/>
      </w:r>
      <w:r>
        <w:instrText xml:space="preserve"> eq \o\ac(○,</w:instrText>
      </w:r>
      <w:r>
        <w:rPr>
          <w:position w:val="3"/>
          <w:sz w:val="16"/>
        </w:rPr>
        <w:instrText>B</w:instrText>
      </w:r>
      <w:r>
        <w:instrText>)</w:instrText>
      </w:r>
      <w:r>
        <w:fldChar w:fldCharType="end"/>
      </w:r>
      <w:r>
        <w:t>为对称轴，相距</w:t>
      </w:r>
      <w:r>
        <w:t>460mm</w:t>
      </w:r>
      <w:r>
        <w:t>。通过移动</w:t>
      </w:r>
      <w:r>
        <w:t>T</w:t>
      </w:r>
      <w:r>
        <w:t>型螺栓使支座竹板</w:t>
      </w:r>
      <w:r>
        <w:t>b</w:t>
      </w:r>
      <w:r>
        <w:t>横向中心线与</w:t>
      </w:r>
      <w:r>
        <w:fldChar w:fldCharType="begin"/>
      </w:r>
      <w:r>
        <w:instrText xml:space="preserve"> = 3 \* GB3 </w:instrText>
      </w:r>
      <w:r>
        <w:fldChar w:fldCharType="separate"/>
      </w:r>
      <w:r>
        <w:rPr>
          <w:rFonts w:ascii="宋体" w:eastAsia="宋体" w:hAnsi="宋体" w:cs="宋体" w:hint="eastAsia"/>
        </w:rPr>
        <w:t>③</w:t>
      </w:r>
      <w:r>
        <w:fldChar w:fldCharType="end"/>
      </w:r>
      <w:r>
        <w:t>轴位置线重合（</w:t>
      </w:r>
      <w:r>
        <w:rPr>
          <w:b/>
          <w:bCs/>
        </w:rPr>
        <w:t>误差在</w:t>
      </w:r>
      <w:r>
        <w:rPr>
          <w:b/>
          <w:bCs/>
        </w:rPr>
        <w:t>5mm</w:t>
      </w:r>
      <w:r>
        <w:rPr>
          <w:b/>
          <w:bCs/>
        </w:rPr>
        <w:t>内</w:t>
      </w:r>
      <w:r>
        <w:t>）。</w:t>
      </w:r>
      <w:r>
        <w:fldChar w:fldCharType="begin"/>
      </w:r>
      <w:r>
        <w:instrText xml:space="preserve"> = 2 \* GB3 </w:instrText>
      </w:r>
      <w:r>
        <w:fldChar w:fldCharType="separate"/>
      </w:r>
      <w:r>
        <w:rPr>
          <w:rFonts w:ascii="宋体" w:eastAsia="宋体" w:hAnsi="宋体" w:cs="宋体" w:hint="eastAsia"/>
        </w:rPr>
        <w:t>②</w:t>
      </w:r>
      <w:r>
        <w:fldChar w:fldCharType="end"/>
      </w:r>
      <w:r>
        <w:t>轴处支座竹板</w:t>
      </w:r>
      <w:r>
        <w:t>a</w:t>
      </w:r>
      <w:r>
        <w:t>固定在加载承台上重复使用（不允许胶水或螺钉等连接），允许桥墩放置在支座竹板</w:t>
      </w:r>
      <w:r>
        <w:t>a</w:t>
      </w:r>
      <w:r>
        <w:t>上，也可不接触。</w:t>
      </w:r>
      <w:r>
        <w:fldChar w:fldCharType="begin"/>
      </w:r>
      <w:r>
        <w:instrText xml:space="preserve"> = 3 \* GB3 </w:instrText>
      </w:r>
      <w:r>
        <w:fldChar w:fldCharType="separate"/>
      </w:r>
      <w:r>
        <w:rPr>
          <w:rFonts w:ascii="宋体" w:eastAsia="宋体" w:hAnsi="宋体" w:cs="宋体" w:hint="eastAsia"/>
        </w:rPr>
        <w:t>③</w:t>
      </w:r>
      <w:r>
        <w:fldChar w:fldCharType="end"/>
      </w:r>
      <w:r>
        <w:t>轴处用自攻螺钉将桥梁固定在支座竹板</w:t>
      </w:r>
      <w:r>
        <w:t>b</w:t>
      </w:r>
      <w:r>
        <w:t>上，</w:t>
      </w:r>
      <w:r>
        <w:rPr>
          <w:b/>
          <w:bCs/>
        </w:rPr>
        <w:t>预安装固定后模型能自身保持悬臂平衡</w:t>
      </w:r>
      <w:r>
        <w:t>，即假定桥面结构处于</w:t>
      </w:r>
      <w:r>
        <w:t>±0.00</w:t>
      </w:r>
      <w:r>
        <w:t>水平放置时除</w:t>
      </w:r>
      <w:r>
        <w:fldChar w:fldCharType="begin"/>
      </w:r>
      <w:r>
        <w:instrText xml:space="preserve"> = 2 \* GB3 </w:instrText>
      </w:r>
      <w:r>
        <w:fldChar w:fldCharType="separate"/>
      </w:r>
      <w:r>
        <w:rPr>
          <w:rFonts w:ascii="宋体" w:eastAsia="宋体" w:hAnsi="宋体" w:cs="宋体" w:hint="eastAsia"/>
        </w:rPr>
        <w:t>②</w:t>
      </w:r>
      <w:r>
        <w:fldChar w:fldCharType="end"/>
      </w:r>
      <w:r>
        <w:t>轴和</w:t>
      </w:r>
      <w:r>
        <w:fldChar w:fldCharType="begin"/>
      </w:r>
      <w:r>
        <w:instrText xml:space="preserve"> = 3 \* GB3 </w:instrText>
      </w:r>
      <w:r>
        <w:fldChar w:fldCharType="separate"/>
      </w:r>
      <w:r>
        <w:rPr>
          <w:rFonts w:ascii="宋体" w:eastAsia="宋体" w:hAnsi="宋体" w:cs="宋体" w:hint="eastAsia"/>
        </w:rPr>
        <w:t>③</w:t>
      </w:r>
      <w:r>
        <w:fldChar w:fldCharType="end"/>
      </w:r>
      <w:r>
        <w:t>轴桥墩底面外其他构件不能接触标高为</w:t>
      </w:r>
      <m:oMath>
        <m:r>
          <w:rPr>
            <w:rFonts w:ascii="Cambria Math" w:hAnsi="Cambria Math"/>
          </w:rPr>
          <m:t>-250</m:t>
        </m:r>
        <m:r>
          <m:rPr>
            <m:sty m:val="p"/>
          </m:rPr>
          <w:rPr>
            <w:rFonts w:ascii="Cambria Math" w:hAnsi="Cambria Math"/>
          </w:rPr>
          <m:t>mm</m:t>
        </m:r>
      </m:oMath>
      <w:r>
        <w:t>的地面及以下处（拉索锚固端等</w:t>
      </w:r>
      <w:r>
        <w:lastRenderedPageBreak/>
        <w:t>柔性构件可临时弯曲到结构上），可通过手持支座竹板搬运整个模型。除钻自攻螺钉外，不允许对支座竹板</w:t>
      </w:r>
      <w:r>
        <w:t>b</w:t>
      </w:r>
      <w:r>
        <w:t>进行其它任何形式的加工，</w:t>
      </w:r>
      <w:r>
        <w:rPr>
          <w:b/>
          <w:bCs/>
        </w:rPr>
        <w:t>每使用一个螺钉相当于增加</w:t>
      </w:r>
      <w:r>
        <w:rPr>
          <w:b/>
          <w:bCs/>
        </w:rPr>
        <w:t>1g</w:t>
      </w:r>
      <w:r>
        <w:rPr>
          <w:b/>
          <w:bCs/>
        </w:rPr>
        <w:t>模型质量，螺钉总数量不超过</w:t>
      </w:r>
      <w:r>
        <w:rPr>
          <w:b/>
          <w:bCs/>
        </w:rPr>
        <w:t>12</w:t>
      </w:r>
      <w:r>
        <w:rPr>
          <w:b/>
          <w:bCs/>
        </w:rPr>
        <w:t>颗</w:t>
      </w:r>
      <w:r>
        <w:t>。</w:t>
      </w:r>
    </w:p>
    <w:tbl>
      <w:tblPr>
        <w:tblW w:w="0" w:type="auto"/>
        <w:tblLook w:val="04A0" w:firstRow="1" w:lastRow="0" w:firstColumn="1" w:lastColumn="0" w:noHBand="0" w:noVBand="1"/>
      </w:tblPr>
      <w:tblGrid>
        <w:gridCol w:w="3710"/>
        <w:gridCol w:w="4818"/>
      </w:tblGrid>
      <w:tr w:rsidR="00DE34A4" w:rsidTr="00CF44D4">
        <w:trPr>
          <w:trHeight w:val="5153"/>
        </w:trPr>
        <w:tc>
          <w:tcPr>
            <w:tcW w:w="5040" w:type="dxa"/>
            <w:vAlign w:val="center"/>
          </w:tcPr>
          <w:p w:rsidR="00DE34A4" w:rsidRDefault="00DE34A4" w:rsidP="00CF44D4">
            <w:pPr>
              <w:jc w:val="center"/>
            </w:pPr>
            <w:r>
              <w:rPr>
                <w:noProof/>
              </w:rPr>
              <w:drawing>
                <wp:inline distT="0" distB="0" distL="0" distR="0" wp14:anchorId="0097ABAF" wp14:editId="55A20621">
                  <wp:extent cx="2329815" cy="3030855"/>
                  <wp:effectExtent l="0" t="0" r="0" b="0"/>
                  <wp:docPr id="2"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示&#10;&#10;描述已自动生成"/>
                          <pic:cNvPicPr>
                            <a:picLocks noChangeAspect="1"/>
                          </pic:cNvPicPr>
                        </pic:nvPicPr>
                        <pic:blipFill>
                          <a:blip r:embed="rId10"/>
                          <a:srcRect r="60264"/>
                          <a:stretch>
                            <a:fillRect/>
                          </a:stretch>
                        </pic:blipFill>
                        <pic:spPr>
                          <a:xfrm>
                            <a:off x="0" y="0"/>
                            <a:ext cx="2332837" cy="3034475"/>
                          </a:xfrm>
                          <a:prstGeom prst="rect">
                            <a:avLst/>
                          </a:prstGeom>
                          <a:ln>
                            <a:noFill/>
                          </a:ln>
                        </pic:spPr>
                      </pic:pic>
                    </a:graphicData>
                  </a:graphic>
                </wp:inline>
              </w:drawing>
            </w:r>
          </w:p>
        </w:tc>
        <w:tc>
          <w:tcPr>
            <w:tcW w:w="5041" w:type="dxa"/>
            <w:vAlign w:val="center"/>
          </w:tcPr>
          <w:p w:rsidR="00DE34A4" w:rsidRDefault="00DE34A4" w:rsidP="00CF44D4">
            <w:r>
              <w:rPr>
                <w:noProof/>
              </w:rPr>
              <w:drawing>
                <wp:inline distT="0" distB="0" distL="0" distR="0" wp14:anchorId="43D20A9D" wp14:editId="6BEDFA2E">
                  <wp:extent cx="3068955" cy="3079115"/>
                  <wp:effectExtent l="0" t="0" r="0" b="0"/>
                  <wp:docPr id="24" name="图片 2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示&#10;&#10;描述已自动生成"/>
                          <pic:cNvPicPr>
                            <a:picLocks noChangeAspect="1"/>
                          </pic:cNvPicPr>
                        </pic:nvPicPr>
                        <pic:blipFill>
                          <a:blip r:embed="rId10"/>
                          <a:srcRect l="48353"/>
                          <a:stretch>
                            <a:fillRect/>
                          </a:stretch>
                        </pic:blipFill>
                        <pic:spPr>
                          <a:xfrm>
                            <a:off x="0" y="0"/>
                            <a:ext cx="3073555" cy="3083810"/>
                          </a:xfrm>
                          <a:prstGeom prst="rect">
                            <a:avLst/>
                          </a:prstGeom>
                          <a:ln>
                            <a:noFill/>
                          </a:ln>
                        </pic:spPr>
                      </pic:pic>
                    </a:graphicData>
                  </a:graphic>
                </wp:inline>
              </w:drawing>
            </w:r>
          </w:p>
        </w:tc>
      </w:tr>
      <w:tr w:rsidR="00DE34A4" w:rsidTr="00CF44D4">
        <w:tc>
          <w:tcPr>
            <w:tcW w:w="5040" w:type="dxa"/>
            <w:vAlign w:val="center"/>
          </w:tcPr>
          <w:p w:rsidR="00DE34A4" w:rsidRDefault="00DE34A4" w:rsidP="00CF44D4">
            <w:pPr>
              <w:jc w:val="center"/>
            </w:pPr>
            <w:r>
              <w:rPr>
                <w:sz w:val="21"/>
                <w:szCs w:val="21"/>
              </w:rPr>
              <w:t>（</w:t>
            </w:r>
            <w:r>
              <w:rPr>
                <w:sz w:val="21"/>
                <w:szCs w:val="21"/>
              </w:rPr>
              <w:t>a</w:t>
            </w:r>
            <w:r>
              <w:rPr>
                <w:sz w:val="21"/>
                <w:szCs w:val="21"/>
              </w:rPr>
              <w:t>）</w:t>
            </w:r>
            <w:r>
              <w:fldChar w:fldCharType="begin"/>
            </w:r>
            <w:r>
              <w:instrText xml:space="preserve"> eq \o\ac(○,</w:instrText>
            </w:r>
            <w:r>
              <w:rPr>
                <w:position w:val="3"/>
                <w:sz w:val="16"/>
              </w:rPr>
              <w:instrText>2</w:instrText>
            </w:r>
            <w:r>
              <w:instrText>)</w:instrText>
            </w:r>
            <w:r>
              <w:fldChar w:fldCharType="end"/>
            </w:r>
            <w:r>
              <w:rPr>
                <w:sz w:val="21"/>
                <w:szCs w:val="21"/>
              </w:rPr>
              <w:t>轴线处桥墩允许</w:t>
            </w:r>
            <w:r>
              <w:rPr>
                <w:color w:val="000000" w:themeColor="text1"/>
                <w:sz w:val="21"/>
                <w:szCs w:val="21"/>
              </w:rPr>
              <w:t>区域平面图</w:t>
            </w:r>
          </w:p>
        </w:tc>
        <w:tc>
          <w:tcPr>
            <w:tcW w:w="5041" w:type="dxa"/>
            <w:vAlign w:val="center"/>
          </w:tcPr>
          <w:p w:rsidR="00DE34A4" w:rsidRDefault="00DE34A4" w:rsidP="00CF44D4">
            <w:pPr>
              <w:jc w:val="center"/>
            </w:pPr>
            <w:r>
              <w:rPr>
                <w:sz w:val="21"/>
                <w:szCs w:val="21"/>
              </w:rPr>
              <w:t>（</w:t>
            </w:r>
            <w:r>
              <w:rPr>
                <w:sz w:val="21"/>
                <w:szCs w:val="21"/>
              </w:rPr>
              <w:t>b</w:t>
            </w:r>
            <w:r>
              <w:rPr>
                <w:sz w:val="21"/>
                <w:szCs w:val="21"/>
              </w:rPr>
              <w:t>）</w:t>
            </w:r>
            <w:r>
              <w:rPr>
                <w:sz w:val="21"/>
                <w:szCs w:val="21"/>
              </w:rPr>
              <w:fldChar w:fldCharType="begin"/>
            </w:r>
            <w:r>
              <w:rPr>
                <w:sz w:val="21"/>
                <w:szCs w:val="21"/>
              </w:rPr>
              <w:instrText xml:space="preserve"> = 3 \* GB3 </w:instrText>
            </w:r>
            <w:r>
              <w:rPr>
                <w:sz w:val="21"/>
                <w:szCs w:val="21"/>
              </w:rPr>
              <w:fldChar w:fldCharType="separate"/>
            </w:r>
            <w:r>
              <w:rPr>
                <w:rFonts w:ascii="宋体" w:eastAsia="宋体" w:hAnsi="宋体" w:cs="宋体" w:hint="eastAsia"/>
                <w:sz w:val="21"/>
                <w:szCs w:val="21"/>
              </w:rPr>
              <w:t>③</w:t>
            </w:r>
            <w:r>
              <w:rPr>
                <w:sz w:val="21"/>
                <w:szCs w:val="21"/>
              </w:rPr>
              <w:fldChar w:fldCharType="end"/>
            </w:r>
            <w:r>
              <w:rPr>
                <w:sz w:val="21"/>
                <w:szCs w:val="21"/>
              </w:rPr>
              <w:t>轴线处桥墩允许</w:t>
            </w:r>
            <w:r>
              <w:rPr>
                <w:color w:val="000000" w:themeColor="text1"/>
                <w:sz w:val="21"/>
                <w:szCs w:val="21"/>
              </w:rPr>
              <w:t>区域平面</w:t>
            </w:r>
            <w:r>
              <w:rPr>
                <w:sz w:val="21"/>
                <w:szCs w:val="21"/>
              </w:rPr>
              <w:t>图</w:t>
            </w:r>
          </w:p>
        </w:tc>
      </w:tr>
      <w:tr w:rsidR="00DE34A4" w:rsidTr="00CF44D4">
        <w:tc>
          <w:tcPr>
            <w:tcW w:w="10081" w:type="dxa"/>
            <w:gridSpan w:val="2"/>
            <w:vAlign w:val="center"/>
          </w:tcPr>
          <w:p w:rsidR="00DE34A4" w:rsidRDefault="00DE34A4" w:rsidP="00CF44D4">
            <w:pPr>
              <w:pStyle w:val="5"/>
              <w:keepNext w:val="0"/>
              <w:keepLines w:val="0"/>
              <w:spacing w:after="156"/>
              <w:rPr>
                <w:rFonts w:ascii="Times New Roman" w:hAnsi="Times New Roman"/>
              </w:rPr>
            </w:pPr>
            <w:r>
              <w:rPr>
                <w:rFonts w:ascii="Times New Roman" w:hAnsi="Times New Roman"/>
              </w:rPr>
              <w:t>桥墩允许区域平面图（单位：</w:t>
            </w:r>
            <w:r>
              <w:rPr>
                <w:rFonts w:ascii="Times New Roman" w:hAnsi="Times New Roman"/>
              </w:rPr>
              <w:t>mm</w:t>
            </w:r>
            <w:r>
              <w:rPr>
                <w:rFonts w:ascii="Times New Roman" w:hAnsi="Times New Roman"/>
              </w:rPr>
              <w:t>）</w:t>
            </w:r>
          </w:p>
        </w:tc>
      </w:tr>
    </w:tbl>
    <w:p w:rsidR="00DE34A4" w:rsidRDefault="00DE34A4" w:rsidP="00DE34A4">
      <w:pPr>
        <w:pStyle w:val="3"/>
        <w:keepNext w:val="0"/>
        <w:keepLines w:val="0"/>
        <w:numPr>
          <w:ilvl w:val="2"/>
          <w:numId w:val="3"/>
        </w:numPr>
        <w:ind w:left="566" w:hanging="566"/>
      </w:pPr>
      <w:r>
        <w:t>尺寸要求</w:t>
      </w:r>
    </w:p>
    <w:p w:rsidR="00DE34A4" w:rsidRDefault="00DE34A4" w:rsidP="00DE34A4">
      <w:pPr>
        <w:spacing w:line="360" w:lineRule="auto"/>
        <w:ind w:firstLineChars="200" w:firstLine="480"/>
        <w:rPr>
          <w:rFonts w:eastAsia="楷体"/>
          <w:sz w:val="24"/>
          <w:szCs w:val="24"/>
        </w:rPr>
      </w:pPr>
      <w:r>
        <w:rPr>
          <w:rFonts w:eastAsia="楷体"/>
          <w:sz w:val="24"/>
          <w:szCs w:val="24"/>
        </w:rPr>
        <w:t>桥梁连接</w:t>
      </w:r>
      <w:r>
        <w:rPr>
          <w:rFonts w:eastAsia="楷体"/>
          <w:sz w:val="24"/>
          <w:szCs w:val="24"/>
        </w:rPr>
        <w:t>A</w:t>
      </w:r>
      <w:r>
        <w:rPr>
          <w:rFonts w:eastAsia="楷体"/>
          <w:sz w:val="24"/>
          <w:szCs w:val="24"/>
        </w:rPr>
        <w:t>和</w:t>
      </w:r>
      <w:r>
        <w:rPr>
          <w:rFonts w:eastAsia="楷体"/>
          <w:sz w:val="24"/>
          <w:szCs w:val="24"/>
        </w:rPr>
        <w:t>B</w:t>
      </w:r>
      <w:r>
        <w:rPr>
          <w:rFonts w:eastAsia="楷体"/>
          <w:sz w:val="24"/>
          <w:szCs w:val="24"/>
        </w:rPr>
        <w:t>两个桥岸，铺设桥面板后四个车道均能行驶总高</w:t>
      </w:r>
      <w:r>
        <w:rPr>
          <w:rFonts w:eastAsia="楷体"/>
          <w:sz w:val="24"/>
          <w:szCs w:val="24"/>
        </w:rPr>
        <w:t>165mm</w:t>
      </w:r>
      <w:r>
        <w:rPr>
          <w:rFonts w:eastAsia="楷体"/>
          <w:sz w:val="24"/>
          <w:szCs w:val="24"/>
        </w:rPr>
        <w:t>（含位移挡板高度）的小车，加载时小车（含位移挡板）不能触碰桥面以上结构。对赛题中未明确的尺寸（如：桥面以上结构高度等）均不做尺寸限制，除前述规定外，需要考虑的尺寸限制条件包括：</w:t>
      </w:r>
    </w:p>
    <w:p w:rsidR="00DE34A4" w:rsidRDefault="00DE34A4" w:rsidP="00DE34A4">
      <w:pPr>
        <w:pStyle w:val="a7"/>
        <w:widowControl w:val="0"/>
        <w:numPr>
          <w:ilvl w:val="0"/>
          <w:numId w:val="5"/>
        </w:numPr>
        <w:spacing w:line="360" w:lineRule="auto"/>
        <w:ind w:left="420" w:firstLineChars="0" w:firstLine="0"/>
        <w:jc w:val="both"/>
        <w:rPr>
          <w:rFonts w:eastAsia="楷体"/>
          <w:sz w:val="24"/>
          <w:szCs w:val="24"/>
        </w:rPr>
      </w:pPr>
      <w:r>
        <w:rPr>
          <w:rFonts w:eastAsia="楷体"/>
          <w:sz w:val="24"/>
          <w:szCs w:val="24"/>
        </w:rPr>
        <w:t>为保证桥下通航要求，如图</w:t>
      </w:r>
      <w:r>
        <w:rPr>
          <w:rFonts w:eastAsia="楷体"/>
          <w:sz w:val="24"/>
          <w:szCs w:val="24"/>
        </w:rPr>
        <w:t>2</w:t>
      </w:r>
      <w:r>
        <w:rPr>
          <w:rFonts w:eastAsia="楷体"/>
          <w:sz w:val="24"/>
          <w:szCs w:val="24"/>
        </w:rPr>
        <w:t>（</w:t>
      </w:r>
      <w:r>
        <w:rPr>
          <w:rFonts w:eastAsia="楷体"/>
          <w:sz w:val="24"/>
          <w:szCs w:val="24"/>
        </w:rPr>
        <w:t>b</w:t>
      </w:r>
      <w:r>
        <w:rPr>
          <w:rFonts w:eastAsia="楷体"/>
          <w:sz w:val="24"/>
          <w:szCs w:val="24"/>
        </w:rPr>
        <w:t>）所示，对主跨</w:t>
      </w:r>
      <w:r>
        <w:rPr>
          <w:rFonts w:eastAsia="楷体"/>
          <w:sz w:val="24"/>
          <w:szCs w:val="24"/>
        </w:rPr>
        <w:t>L1</w:t>
      </w:r>
      <w:r>
        <w:rPr>
          <w:rFonts w:eastAsia="楷体"/>
          <w:sz w:val="24"/>
          <w:szCs w:val="24"/>
        </w:rPr>
        <w:t>桥下净空顶标高</w:t>
      </w:r>
      <w:r>
        <w:rPr>
          <w:rFonts w:eastAsia="楷体"/>
          <w:sz w:val="24"/>
          <w:szCs w:val="24"/>
        </w:rPr>
        <w:t>H</w:t>
      </w:r>
      <w:r>
        <w:rPr>
          <w:rFonts w:eastAsia="楷体"/>
          <w:sz w:val="24"/>
          <w:szCs w:val="24"/>
        </w:rPr>
        <w:t>的最小值</w:t>
      </w:r>
      <w:r>
        <w:rPr>
          <w:rFonts w:eastAsia="楷体"/>
          <w:sz w:val="24"/>
          <w:szCs w:val="24"/>
        </w:rPr>
        <w:t>H</w:t>
      </w:r>
      <w:r>
        <w:rPr>
          <w:rFonts w:eastAsia="楷体"/>
          <w:sz w:val="24"/>
          <w:szCs w:val="24"/>
          <w:vertAlign w:val="subscript"/>
        </w:rPr>
        <w:t>min</w:t>
      </w:r>
      <w:r>
        <w:rPr>
          <w:rFonts w:eastAsia="楷体"/>
          <w:sz w:val="24"/>
          <w:szCs w:val="24"/>
        </w:rPr>
        <w:t>进行规定，</w:t>
      </w:r>
      <w:r>
        <w:rPr>
          <w:rFonts w:eastAsia="楷体"/>
          <w:sz w:val="24"/>
          <w:szCs w:val="24"/>
        </w:rPr>
        <w:t>H</w:t>
      </w:r>
      <w:r>
        <w:rPr>
          <w:rFonts w:eastAsia="楷体"/>
          <w:sz w:val="24"/>
          <w:szCs w:val="24"/>
          <w:vertAlign w:val="subscript"/>
        </w:rPr>
        <w:t>min</w:t>
      </w:r>
      <w:r>
        <w:rPr>
          <w:rFonts w:eastAsia="楷体"/>
          <w:sz w:val="24"/>
          <w:szCs w:val="24"/>
        </w:rPr>
        <w:t>取值为</w:t>
      </w:r>
      <w:r>
        <w:rPr>
          <w:rFonts w:eastAsia="楷体"/>
          <w:sz w:val="24"/>
          <w:szCs w:val="24"/>
        </w:rPr>
        <w:t>-100mm</w:t>
      </w:r>
      <w:r>
        <w:rPr>
          <w:rFonts w:eastAsia="楷体"/>
          <w:sz w:val="24"/>
          <w:szCs w:val="24"/>
        </w:rPr>
        <w:t>。</w:t>
      </w:r>
    </w:p>
    <w:p w:rsidR="00DE34A4" w:rsidRDefault="00DE34A4" w:rsidP="00DE34A4">
      <w:pPr>
        <w:spacing w:line="360" w:lineRule="auto"/>
        <w:ind w:leftChars="200" w:left="440"/>
        <w:rPr>
          <w:rFonts w:eastAsia="楷体"/>
          <w:sz w:val="24"/>
          <w:szCs w:val="24"/>
        </w:rPr>
      </w:pPr>
      <w:r>
        <w:rPr>
          <w:rFonts w:eastAsia="楷体"/>
          <w:sz w:val="24"/>
          <w:szCs w:val="24"/>
        </w:rPr>
        <w:t>次跨</w:t>
      </w:r>
      <w:r>
        <w:rPr>
          <w:rFonts w:eastAsia="楷体"/>
          <w:sz w:val="24"/>
          <w:szCs w:val="24"/>
        </w:rPr>
        <w:t>L2</w:t>
      </w:r>
      <w:r>
        <w:rPr>
          <w:rFonts w:eastAsia="楷体"/>
          <w:sz w:val="24"/>
          <w:szCs w:val="24"/>
        </w:rPr>
        <w:t>标高大于</w:t>
      </w:r>
      <w:r>
        <w:rPr>
          <w:rFonts w:eastAsia="楷体"/>
          <w:sz w:val="24"/>
          <w:szCs w:val="24"/>
        </w:rPr>
        <w:t>-100mm</w:t>
      </w:r>
      <w:r>
        <w:rPr>
          <w:rFonts w:eastAsia="楷体"/>
          <w:sz w:val="24"/>
          <w:szCs w:val="24"/>
        </w:rPr>
        <w:t>，图</w:t>
      </w:r>
      <w:r>
        <w:rPr>
          <w:rFonts w:eastAsia="楷体"/>
          <w:sz w:val="24"/>
          <w:szCs w:val="24"/>
        </w:rPr>
        <w:t>2</w:t>
      </w:r>
      <w:r>
        <w:rPr>
          <w:rFonts w:eastAsia="楷体"/>
          <w:sz w:val="24"/>
          <w:szCs w:val="24"/>
        </w:rPr>
        <w:t>（</w:t>
      </w:r>
      <w:r>
        <w:rPr>
          <w:rFonts w:eastAsia="楷体"/>
          <w:sz w:val="24"/>
          <w:szCs w:val="24"/>
        </w:rPr>
        <w:t>b</w:t>
      </w:r>
      <w:r>
        <w:rPr>
          <w:rFonts w:eastAsia="楷体"/>
          <w:sz w:val="24"/>
          <w:szCs w:val="24"/>
        </w:rPr>
        <w:t>）所示、</w:t>
      </w:r>
      <w:r>
        <w:rPr>
          <w:rFonts w:eastAsia="楷体"/>
          <w:sz w:val="24"/>
          <w:szCs w:val="24"/>
        </w:rPr>
        <w:fldChar w:fldCharType="begin"/>
      </w:r>
      <w:r>
        <w:rPr>
          <w:rFonts w:eastAsia="楷体"/>
          <w:sz w:val="24"/>
          <w:szCs w:val="24"/>
        </w:rPr>
        <w:instrText xml:space="preserve"> = 2 \* GB3 </w:instrText>
      </w:r>
      <w:r>
        <w:rPr>
          <w:rFonts w:eastAsia="楷体"/>
          <w:sz w:val="24"/>
          <w:szCs w:val="24"/>
        </w:rPr>
        <w:fldChar w:fldCharType="separate"/>
      </w:r>
      <w:r>
        <w:rPr>
          <w:rFonts w:ascii="宋体" w:eastAsia="宋体" w:hAnsi="宋体" w:cs="宋体" w:hint="eastAsia"/>
          <w:sz w:val="24"/>
          <w:szCs w:val="24"/>
        </w:rPr>
        <w:t>②</w:t>
      </w:r>
      <w:r>
        <w:rPr>
          <w:rFonts w:eastAsia="楷体"/>
          <w:sz w:val="24"/>
          <w:szCs w:val="24"/>
        </w:rPr>
        <w:fldChar w:fldCharType="end"/>
      </w:r>
      <w:r>
        <w:rPr>
          <w:rFonts w:eastAsia="楷体"/>
          <w:sz w:val="24"/>
          <w:szCs w:val="24"/>
        </w:rPr>
        <w:t>轴线两侧</w:t>
      </w:r>
      <w:r>
        <w:rPr>
          <w:rFonts w:eastAsia="楷体"/>
          <w:sz w:val="24"/>
          <w:szCs w:val="24"/>
        </w:rPr>
        <w:t>25mm</w:t>
      </w:r>
      <w:r>
        <w:rPr>
          <w:rFonts w:eastAsia="楷体"/>
          <w:sz w:val="24"/>
          <w:szCs w:val="24"/>
        </w:rPr>
        <w:t>范围、</w:t>
      </w:r>
      <w:r>
        <w:rPr>
          <w:rFonts w:eastAsia="楷体"/>
          <w:sz w:val="24"/>
          <w:szCs w:val="24"/>
        </w:rPr>
        <w:fldChar w:fldCharType="begin"/>
      </w:r>
      <w:r>
        <w:rPr>
          <w:rFonts w:eastAsia="楷体"/>
          <w:sz w:val="24"/>
          <w:szCs w:val="24"/>
        </w:rPr>
        <w:instrText xml:space="preserve"> = 3 \* GB3 </w:instrText>
      </w:r>
      <w:r>
        <w:rPr>
          <w:rFonts w:eastAsia="楷体"/>
          <w:sz w:val="24"/>
          <w:szCs w:val="24"/>
        </w:rPr>
        <w:fldChar w:fldCharType="separate"/>
      </w:r>
      <w:r>
        <w:rPr>
          <w:rFonts w:ascii="宋体" w:eastAsia="宋体" w:hAnsi="宋体" w:cs="宋体" w:hint="eastAsia"/>
          <w:sz w:val="24"/>
          <w:szCs w:val="24"/>
        </w:rPr>
        <w:t>③</w:t>
      </w:r>
      <w:r>
        <w:rPr>
          <w:rFonts w:eastAsia="楷体"/>
          <w:sz w:val="24"/>
          <w:szCs w:val="24"/>
        </w:rPr>
        <w:fldChar w:fldCharType="end"/>
      </w:r>
      <w:r>
        <w:rPr>
          <w:rFonts w:eastAsia="楷体"/>
          <w:sz w:val="24"/>
          <w:szCs w:val="24"/>
        </w:rPr>
        <w:t>轴线两侧</w:t>
      </w:r>
      <w:r>
        <w:rPr>
          <w:rFonts w:eastAsia="楷体"/>
          <w:sz w:val="24"/>
          <w:szCs w:val="24"/>
        </w:rPr>
        <w:t>50mm</w:t>
      </w:r>
      <w:r>
        <w:rPr>
          <w:rFonts w:eastAsia="楷体"/>
          <w:sz w:val="24"/>
          <w:szCs w:val="24"/>
        </w:rPr>
        <w:t>范围。</w:t>
      </w:r>
      <w:bookmarkStart w:id="7" w:name="_Hlk38032416"/>
    </w:p>
    <w:p w:rsidR="00DE34A4" w:rsidRDefault="00DE34A4" w:rsidP="00DE34A4">
      <w:pPr>
        <w:pStyle w:val="a7"/>
        <w:widowControl w:val="0"/>
        <w:numPr>
          <w:ilvl w:val="0"/>
          <w:numId w:val="5"/>
        </w:numPr>
        <w:spacing w:line="360" w:lineRule="auto"/>
        <w:ind w:left="420" w:firstLineChars="0" w:firstLine="0"/>
        <w:jc w:val="both"/>
        <w:rPr>
          <w:rFonts w:eastAsia="楷体"/>
          <w:sz w:val="24"/>
          <w:szCs w:val="24"/>
        </w:rPr>
      </w:pPr>
      <w:r>
        <w:rPr>
          <w:rFonts w:eastAsia="楷体"/>
          <w:sz w:val="24"/>
          <w:szCs w:val="24"/>
        </w:rPr>
        <w:t>桥梁结构平面投影宽度不小于</w:t>
      </w:r>
      <w:r>
        <w:rPr>
          <w:rFonts w:eastAsia="楷体"/>
          <w:sz w:val="24"/>
          <w:szCs w:val="24"/>
        </w:rPr>
        <w:t>320mm</w:t>
      </w:r>
      <w:r>
        <w:rPr>
          <w:rFonts w:eastAsia="楷体"/>
          <w:sz w:val="24"/>
          <w:szCs w:val="24"/>
        </w:rPr>
        <w:t>。</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bookmarkStart w:id="8" w:name="_Ref28685278"/>
      <w:bookmarkEnd w:id="7"/>
      <w:r>
        <w:rPr>
          <w:rFonts w:ascii="Times New Roman" w:hAnsi="Times New Roman"/>
          <w:sz w:val="28"/>
          <w:szCs w:val="28"/>
        </w:rPr>
        <w:t>荷载的施加方式</w:t>
      </w:r>
      <w:bookmarkEnd w:id="8"/>
    </w:p>
    <w:p w:rsidR="00DE34A4" w:rsidRDefault="00DE34A4" w:rsidP="00DE34A4">
      <w:pPr>
        <w:pStyle w:val="3"/>
        <w:keepNext w:val="0"/>
        <w:keepLines w:val="0"/>
        <w:numPr>
          <w:ilvl w:val="2"/>
          <w:numId w:val="3"/>
        </w:numPr>
        <w:ind w:left="566" w:hanging="566"/>
      </w:pPr>
      <w:bookmarkStart w:id="9" w:name="_Ref28521802"/>
      <w:r>
        <w:t>桥面移动荷载</w:t>
      </w:r>
      <w:bookmarkEnd w:id="9"/>
    </w:p>
    <w:p w:rsidR="00DE34A4" w:rsidRDefault="00DE34A4" w:rsidP="00DE34A4">
      <w:pPr>
        <w:pStyle w:val="a7"/>
        <w:widowControl w:val="0"/>
        <w:numPr>
          <w:ilvl w:val="0"/>
          <w:numId w:val="6"/>
        </w:numPr>
        <w:spacing w:line="360" w:lineRule="auto"/>
        <w:ind w:left="420" w:firstLineChars="0"/>
        <w:jc w:val="both"/>
        <w:rPr>
          <w:rFonts w:eastAsia="楷体"/>
        </w:rPr>
      </w:pPr>
      <w:r>
        <w:rPr>
          <w:rFonts w:eastAsia="楷体"/>
        </w:rPr>
        <w:t>移动荷载的施加方法是：将整捆小车牵引绳裁成每根约</w:t>
      </w:r>
      <w:r>
        <w:rPr>
          <w:rFonts w:eastAsia="楷体"/>
        </w:rPr>
        <w:t>4.6</w:t>
      </w:r>
      <w:r>
        <w:rPr>
          <w:rFonts w:eastAsia="楷体"/>
        </w:rPr>
        <w:t>米长，经桥岸端部限位</w:t>
      </w:r>
      <w:r>
        <w:rPr>
          <w:rFonts w:eastAsia="楷体"/>
        </w:rPr>
        <w:lastRenderedPageBreak/>
        <w:t>杆上圆孔穿入，两绳端打结，穿入小车前后端大圆孔，用力拉直后卡入夹缝下端的小孔内，牵引绳如图</w:t>
      </w:r>
      <w:r>
        <w:rPr>
          <w:rFonts w:eastAsia="楷体"/>
        </w:rPr>
        <w:t>2</w:t>
      </w:r>
      <w:r>
        <w:rPr>
          <w:rFonts w:eastAsia="楷体"/>
        </w:rPr>
        <w:t>（</w:t>
      </w:r>
      <w:r>
        <w:rPr>
          <w:rFonts w:eastAsia="楷体"/>
        </w:rPr>
        <w:t>b</w:t>
      </w:r>
      <w:r>
        <w:rPr>
          <w:rFonts w:eastAsia="楷体"/>
        </w:rPr>
        <w:t>）所示形成闭环，牵引绳在两个桥岸端部的限位杆圆孔中心标高为</w:t>
      </w:r>
      <w:r>
        <w:rPr>
          <w:rFonts w:eastAsia="楷体"/>
        </w:rPr>
        <w:t>+40mm</w:t>
      </w:r>
      <w:r>
        <w:rPr>
          <w:rFonts w:eastAsia="楷体"/>
        </w:rPr>
        <w:t>，队员在桥岸端部通过手拉牵引绳（绳穿过限位孔后）移动载重小车，施加移动荷载。</w:t>
      </w:r>
    </w:p>
    <w:p w:rsidR="00DE34A4" w:rsidRDefault="00DE34A4" w:rsidP="00DE34A4">
      <w:pPr>
        <w:pStyle w:val="a7"/>
        <w:widowControl w:val="0"/>
        <w:numPr>
          <w:ilvl w:val="0"/>
          <w:numId w:val="6"/>
        </w:numPr>
        <w:spacing w:line="360" w:lineRule="auto"/>
        <w:ind w:left="420" w:firstLineChars="0"/>
        <w:jc w:val="both"/>
        <w:rPr>
          <w:rFonts w:eastAsia="楷体"/>
        </w:rPr>
      </w:pPr>
      <w:r>
        <w:rPr>
          <w:rFonts w:eastAsia="楷体"/>
        </w:rPr>
        <w:t>采用定制矩型砝码，每辆小车配置一块</w:t>
      </w:r>
      <w:r>
        <w:rPr>
          <w:rFonts w:eastAsia="楷体"/>
        </w:rPr>
        <w:t>2kg</w:t>
      </w:r>
      <w:r>
        <w:rPr>
          <w:rFonts w:eastAsia="楷体"/>
        </w:rPr>
        <w:t>和四块</w:t>
      </w:r>
      <w:r>
        <w:rPr>
          <w:rFonts w:eastAsia="楷体"/>
        </w:rPr>
        <w:t>1kg</w:t>
      </w:r>
      <w:r>
        <w:rPr>
          <w:rFonts w:eastAsia="楷体"/>
        </w:rPr>
        <w:t>砝码，砝码外形尺寸如图</w:t>
      </w:r>
      <w:r>
        <w:rPr>
          <w:rFonts w:eastAsia="楷体"/>
        </w:rPr>
        <w:t>4</w:t>
      </w:r>
      <w:r>
        <w:rPr>
          <w:rFonts w:eastAsia="楷体"/>
        </w:rPr>
        <w:t>所示。</w:t>
      </w:r>
    </w:p>
    <w:p w:rsidR="00DE34A4" w:rsidRDefault="00DE34A4" w:rsidP="00DE34A4">
      <w:pPr>
        <w:pStyle w:val="a7"/>
        <w:widowControl w:val="0"/>
        <w:numPr>
          <w:ilvl w:val="0"/>
          <w:numId w:val="6"/>
        </w:numPr>
        <w:spacing w:line="360" w:lineRule="auto"/>
        <w:ind w:left="420" w:firstLineChars="0"/>
        <w:jc w:val="both"/>
        <w:rPr>
          <w:rFonts w:eastAsia="楷体"/>
        </w:rPr>
      </w:pPr>
      <w:r>
        <w:rPr>
          <w:rFonts w:eastAsia="楷体"/>
        </w:rPr>
        <w:t>每级小车加载重量</w:t>
      </w:r>
      <w:r>
        <w:rPr>
          <w:rFonts w:eastAsia="楷体"/>
        </w:rPr>
        <w:t>Z</w:t>
      </w:r>
      <w:r>
        <w:rPr>
          <w:rFonts w:eastAsia="楷体"/>
          <w:b/>
          <w:bCs/>
        </w:rPr>
        <w:t>为</w:t>
      </w:r>
      <w:r>
        <w:rPr>
          <w:rFonts w:eastAsia="楷体"/>
          <w:b/>
        </w:rPr>
        <w:t>待定参数，</w:t>
      </w:r>
      <w:r>
        <w:rPr>
          <w:rFonts w:eastAsia="楷体"/>
        </w:rPr>
        <w:t>第一级小车加载重量</w:t>
      </w:r>
      <w:r>
        <w:rPr>
          <w:rFonts w:eastAsia="楷体"/>
        </w:rPr>
        <w:t>Z</w:t>
      </w:r>
      <w:r>
        <w:rPr>
          <w:rFonts w:eastAsia="楷体"/>
          <w:vertAlign w:val="subscript"/>
        </w:rPr>
        <w:t>1</w:t>
      </w:r>
      <w:r>
        <w:rPr>
          <w:rFonts w:eastAsia="楷体"/>
        </w:rPr>
        <w:t>从</w:t>
      </w:r>
      <w:r>
        <w:rPr>
          <w:rFonts w:eastAsia="楷体"/>
        </w:rPr>
        <w:t>20N</w:t>
      </w:r>
      <w:r>
        <w:rPr>
          <w:rFonts w:eastAsia="楷体"/>
        </w:rPr>
        <w:t>、</w:t>
      </w:r>
      <w:r>
        <w:rPr>
          <w:rFonts w:eastAsia="楷体"/>
        </w:rPr>
        <w:t>30N</w:t>
      </w:r>
      <w:r>
        <w:rPr>
          <w:rFonts w:eastAsia="楷体"/>
        </w:rPr>
        <w:t>、</w:t>
      </w:r>
      <w:r>
        <w:rPr>
          <w:rFonts w:eastAsia="楷体"/>
        </w:rPr>
        <w:t>40N</w:t>
      </w:r>
      <w:r>
        <w:rPr>
          <w:rFonts w:eastAsia="楷体"/>
        </w:rPr>
        <w:t>、</w:t>
      </w:r>
      <w:r>
        <w:rPr>
          <w:rFonts w:eastAsia="楷体"/>
        </w:rPr>
        <w:t>50N</w:t>
      </w:r>
      <w:r>
        <w:rPr>
          <w:rFonts w:eastAsia="楷体"/>
        </w:rPr>
        <w:t>中抽签确定，第二级</w:t>
      </w:r>
      <w:r>
        <w:rPr>
          <w:rFonts w:eastAsia="楷体"/>
        </w:rPr>
        <w:t>Z</w:t>
      </w:r>
      <w:r>
        <w:rPr>
          <w:rFonts w:eastAsia="楷体"/>
          <w:vertAlign w:val="subscript"/>
        </w:rPr>
        <w:t>2</w:t>
      </w:r>
      <w:r>
        <w:rPr>
          <w:rFonts w:eastAsia="楷体"/>
        </w:rPr>
        <w:t>和第三级</w:t>
      </w:r>
      <w:r>
        <w:rPr>
          <w:rFonts w:eastAsia="楷体"/>
        </w:rPr>
        <w:t>Z</w:t>
      </w:r>
      <w:r>
        <w:rPr>
          <w:rFonts w:eastAsia="楷体"/>
          <w:vertAlign w:val="subscript"/>
        </w:rPr>
        <w:t>3</w:t>
      </w:r>
      <w:r>
        <w:rPr>
          <w:rFonts w:eastAsia="楷体"/>
        </w:rPr>
        <w:t>相同，从</w:t>
      </w:r>
      <w:r>
        <w:rPr>
          <w:rFonts w:eastAsia="楷体"/>
        </w:rPr>
        <w:t>30N</w:t>
      </w:r>
      <w:r>
        <w:rPr>
          <w:rFonts w:eastAsia="楷体"/>
        </w:rPr>
        <w:t>、</w:t>
      </w:r>
      <w:r>
        <w:rPr>
          <w:rFonts w:eastAsia="楷体"/>
        </w:rPr>
        <w:t>40N</w:t>
      </w:r>
      <w:r>
        <w:rPr>
          <w:rFonts w:eastAsia="楷体"/>
        </w:rPr>
        <w:t>、</w:t>
      </w:r>
      <w:r>
        <w:rPr>
          <w:rFonts w:eastAsia="楷体"/>
        </w:rPr>
        <w:t>50N</w:t>
      </w:r>
      <w:r>
        <w:rPr>
          <w:rFonts w:eastAsia="楷体"/>
        </w:rPr>
        <w:t>、</w:t>
      </w:r>
      <w:r>
        <w:rPr>
          <w:rFonts w:eastAsia="楷体"/>
        </w:rPr>
        <w:t>60N</w:t>
      </w:r>
      <w:r>
        <w:rPr>
          <w:rFonts w:eastAsia="楷体"/>
        </w:rPr>
        <w:t>中抽签确定，且同级加载时每辆小车载重相同，</w:t>
      </w:r>
      <w:r>
        <w:rPr>
          <w:rFonts w:eastAsia="楷体"/>
        </w:rPr>
        <w:t>Z</w:t>
      </w:r>
      <w:r>
        <w:rPr>
          <w:rFonts w:eastAsia="楷体"/>
          <w:vertAlign w:val="subscript"/>
        </w:rPr>
        <w:t>2</w:t>
      </w:r>
      <w:r>
        <w:rPr>
          <w:rFonts w:eastAsia="楷体"/>
        </w:rPr>
        <w:t>和</w:t>
      </w:r>
      <w:r>
        <w:rPr>
          <w:rFonts w:eastAsia="楷体"/>
        </w:rPr>
        <w:t>Z</w:t>
      </w:r>
      <w:r>
        <w:rPr>
          <w:rFonts w:eastAsia="楷体"/>
          <w:vertAlign w:val="subscript"/>
        </w:rPr>
        <w:t>3</w:t>
      </w:r>
      <w:r>
        <w:rPr>
          <w:rFonts w:eastAsia="楷体"/>
        </w:rPr>
        <w:t>大于</w:t>
      </w:r>
      <w:r>
        <w:rPr>
          <w:rFonts w:eastAsia="楷体"/>
        </w:rPr>
        <w:t>Z</w:t>
      </w:r>
      <w:r>
        <w:rPr>
          <w:rFonts w:eastAsia="楷体"/>
          <w:vertAlign w:val="subscript"/>
        </w:rPr>
        <w:t>1</w:t>
      </w:r>
      <w:r>
        <w:rPr>
          <w:rFonts w:eastAsia="楷体"/>
        </w:rPr>
        <w:t>，抽签时假定抽取的</w:t>
      </w:r>
      <w:r>
        <w:rPr>
          <w:rFonts w:eastAsia="楷体"/>
        </w:rPr>
        <w:t>Z</w:t>
      </w:r>
      <w:r>
        <w:rPr>
          <w:rFonts w:eastAsia="楷体"/>
          <w:vertAlign w:val="subscript"/>
        </w:rPr>
        <w:t>1</w:t>
      </w:r>
      <w:r>
        <w:rPr>
          <w:rFonts w:eastAsia="楷体"/>
        </w:rPr>
        <w:t>为</w:t>
      </w:r>
      <w:r>
        <w:rPr>
          <w:rFonts w:eastAsia="楷体"/>
        </w:rPr>
        <w:t>40N</w:t>
      </w:r>
      <w:r>
        <w:rPr>
          <w:rFonts w:eastAsia="楷体"/>
        </w:rPr>
        <w:t>，</w:t>
      </w:r>
      <w:r>
        <w:rPr>
          <w:rFonts w:eastAsia="楷体"/>
        </w:rPr>
        <w:t>Z</w:t>
      </w:r>
      <w:r>
        <w:rPr>
          <w:rFonts w:eastAsia="楷体"/>
          <w:vertAlign w:val="subscript"/>
        </w:rPr>
        <w:t>2</w:t>
      </w:r>
      <w:r>
        <w:rPr>
          <w:rFonts w:eastAsia="楷体"/>
        </w:rPr>
        <w:t>和</w:t>
      </w:r>
      <w:r>
        <w:rPr>
          <w:rFonts w:eastAsia="楷体"/>
        </w:rPr>
        <w:t>Z</w:t>
      </w:r>
      <w:r>
        <w:rPr>
          <w:rFonts w:eastAsia="楷体"/>
          <w:vertAlign w:val="subscript"/>
        </w:rPr>
        <w:t>3</w:t>
      </w:r>
      <w:r>
        <w:rPr>
          <w:rFonts w:eastAsia="楷体"/>
        </w:rPr>
        <w:t>则从</w:t>
      </w:r>
      <w:r>
        <w:rPr>
          <w:rFonts w:eastAsia="楷体"/>
        </w:rPr>
        <w:t>50N</w:t>
      </w:r>
      <w:r>
        <w:rPr>
          <w:rFonts w:eastAsia="楷体"/>
        </w:rPr>
        <w:t>、</w:t>
      </w:r>
      <w:r>
        <w:rPr>
          <w:rFonts w:eastAsia="楷体"/>
        </w:rPr>
        <w:t>60N</w:t>
      </w:r>
      <w:r>
        <w:rPr>
          <w:rFonts w:eastAsia="楷体"/>
        </w:rPr>
        <w:t>中抽签确定，依此类推。</w:t>
      </w:r>
    </w:p>
    <w:p w:rsidR="00DE34A4" w:rsidRDefault="00DE34A4" w:rsidP="00DE34A4">
      <w:pPr>
        <w:pStyle w:val="a7"/>
        <w:widowControl w:val="0"/>
        <w:numPr>
          <w:ilvl w:val="0"/>
          <w:numId w:val="6"/>
        </w:numPr>
        <w:spacing w:line="360" w:lineRule="auto"/>
        <w:ind w:left="420" w:firstLineChars="0"/>
        <w:jc w:val="both"/>
        <w:rPr>
          <w:rFonts w:eastAsia="楷体"/>
        </w:rPr>
      </w:pPr>
      <w:r>
        <w:rPr>
          <w:rFonts w:eastAsia="楷体"/>
        </w:rPr>
        <w:t>小车移动过程中，桥梁应具备足够的刚度，</w:t>
      </w:r>
      <w:r>
        <w:rPr>
          <w:rFonts w:eastAsia="楷体"/>
          <w:b/>
          <w:bCs/>
        </w:rPr>
        <w:t>挠度限值</w:t>
      </w:r>
      <w:r>
        <w:rPr>
          <w:rFonts w:eastAsia="楷体"/>
          <w:b/>
          <w:bCs/>
          <w:sz w:val="21"/>
          <w:szCs w:val="21"/>
        </w:rPr>
        <w:t>[w]</w:t>
      </w:r>
      <w:r>
        <w:rPr>
          <w:rFonts w:eastAsia="楷体"/>
          <w:b/>
          <w:bCs/>
        </w:rPr>
        <w:t>为</w:t>
      </w:r>
      <w:r>
        <w:rPr>
          <w:rFonts w:eastAsia="楷体"/>
          <w:b/>
          <w:bCs/>
        </w:rPr>
        <w:t>±15mm</w:t>
      </w:r>
      <w:r>
        <w:rPr>
          <w:rFonts w:eastAsia="楷体"/>
        </w:rPr>
        <w:t>。</w:t>
      </w:r>
    </w:p>
    <w:p w:rsidR="00DE34A4" w:rsidRDefault="00DE34A4" w:rsidP="00DE34A4">
      <w:pPr>
        <w:pStyle w:val="3"/>
        <w:keepNext w:val="0"/>
        <w:keepLines w:val="0"/>
        <w:numPr>
          <w:ilvl w:val="2"/>
          <w:numId w:val="3"/>
        </w:numPr>
        <w:ind w:left="566" w:hanging="566"/>
        <w:rPr>
          <w:color w:val="000000" w:themeColor="text1"/>
        </w:rPr>
      </w:pPr>
      <w:bookmarkStart w:id="10" w:name="_Ref35643645"/>
      <w:r>
        <w:t>桥墩撞击荷载</w:t>
      </w:r>
      <w:bookmarkEnd w:id="10"/>
    </w:p>
    <w:p w:rsidR="00DE34A4" w:rsidRDefault="00DE34A4" w:rsidP="00DE34A4">
      <w:pPr>
        <w:spacing w:line="360" w:lineRule="auto"/>
        <w:ind w:firstLineChars="200" w:firstLine="440"/>
        <w:rPr>
          <w:rFonts w:eastAsia="楷体"/>
        </w:rPr>
      </w:pPr>
      <w:r>
        <w:rPr>
          <w:rFonts w:eastAsia="楷体"/>
          <w:color w:val="000000" w:themeColor="text1"/>
        </w:rPr>
        <w:t>撞击荷载通过质量约为</w:t>
      </w:r>
      <w:r>
        <w:rPr>
          <w:rFonts w:eastAsia="楷体"/>
          <w:color w:val="000000" w:themeColor="text1"/>
        </w:rPr>
        <w:t>560</w:t>
      </w:r>
      <w:r>
        <w:rPr>
          <w:rFonts w:eastAsia="楷体"/>
          <w:color w:val="000000" w:themeColor="text1"/>
        </w:rPr>
        <w:t>克</w:t>
      </w:r>
      <w:r>
        <w:rPr>
          <w:rFonts w:eastAsia="楷体"/>
        </w:rPr>
        <w:t>不锈钢小球，直径为</w:t>
      </w:r>
      <w:r>
        <w:rPr>
          <w:rFonts w:eastAsia="楷体"/>
        </w:rPr>
        <w:t>138mm</w:t>
      </w:r>
      <w:r>
        <w:rPr>
          <w:rFonts w:eastAsia="楷体"/>
        </w:rPr>
        <w:t>，从高处加速滑落，转变为水平撞击荷载。</w:t>
      </w:r>
      <w:r>
        <w:rPr>
          <w:rFonts w:eastAsia="楷体"/>
          <w:b/>
          <w:bCs/>
        </w:rPr>
        <w:t>小球形心的初始高度为相对于桥墩底面（支座竹板</w:t>
      </w:r>
      <w:r>
        <w:rPr>
          <w:rFonts w:eastAsia="楷体"/>
          <w:b/>
          <w:bCs/>
        </w:rPr>
        <w:t>b</w:t>
      </w:r>
      <w:r>
        <w:rPr>
          <w:rFonts w:eastAsia="楷体"/>
          <w:b/>
          <w:bCs/>
        </w:rPr>
        <w:t>上表面）高度，初始高度为</w:t>
      </w:r>
      <w:r>
        <w:rPr>
          <w:rFonts w:eastAsia="楷体"/>
          <w:b/>
        </w:rPr>
        <w:t>待定参数</w:t>
      </w:r>
      <w:r>
        <w:rPr>
          <w:rFonts w:eastAsia="楷体"/>
        </w:rPr>
        <w:t>，其取值为</w:t>
      </w:r>
      <w:r>
        <w:rPr>
          <w:rFonts w:eastAsia="楷体"/>
        </w:rPr>
        <w:t>400mm</w:t>
      </w:r>
      <w:r>
        <w:rPr>
          <w:rFonts w:eastAsia="楷体"/>
        </w:rPr>
        <w:t>、</w:t>
      </w:r>
      <w:r>
        <w:rPr>
          <w:rFonts w:eastAsia="楷体"/>
        </w:rPr>
        <w:t>500mm</w:t>
      </w:r>
      <w:r>
        <w:rPr>
          <w:rFonts w:eastAsia="楷体"/>
        </w:rPr>
        <w:t>、</w:t>
      </w:r>
      <w:r>
        <w:rPr>
          <w:rFonts w:eastAsia="楷体"/>
        </w:rPr>
        <w:t>600mm</w:t>
      </w:r>
      <w:r>
        <w:rPr>
          <w:rFonts w:eastAsia="楷体"/>
        </w:rPr>
        <w:t>之一，按照</w:t>
      </w:r>
      <w:r>
        <w:rPr>
          <w:rFonts w:eastAsia="楷体"/>
        </w:rPr>
        <w:t>100mm</w:t>
      </w:r>
      <w:r>
        <w:rPr>
          <w:rFonts w:eastAsia="楷体"/>
        </w:rPr>
        <w:t>阶梯随机取值。撞击荷载的施加方法是：由参赛队员手持小球放到统一抽取的初始高度处，打开阀门，小球沿滑轨滑落，水平撞击</w:t>
      </w:r>
      <w:r>
        <w:rPr>
          <w:rFonts w:eastAsia="楷体"/>
        </w:rPr>
        <w:fldChar w:fldCharType="begin"/>
      </w:r>
      <w:r>
        <w:rPr>
          <w:rFonts w:eastAsia="楷体"/>
        </w:rPr>
        <w:instrText xml:space="preserve"> = 3 \* GB3 </w:instrText>
      </w:r>
      <w:r>
        <w:rPr>
          <w:rFonts w:eastAsia="楷体"/>
        </w:rPr>
        <w:fldChar w:fldCharType="separate"/>
      </w:r>
      <w:r>
        <w:rPr>
          <w:rFonts w:ascii="宋体" w:eastAsia="宋体" w:hAnsi="宋体" w:cs="宋体" w:hint="eastAsia"/>
        </w:rPr>
        <w:t>③</w:t>
      </w:r>
      <w:r>
        <w:rPr>
          <w:rFonts w:eastAsia="楷体"/>
        </w:rPr>
        <w:fldChar w:fldCharType="end"/>
      </w:r>
      <w:r>
        <w:rPr>
          <w:rFonts w:eastAsia="楷体"/>
        </w:rPr>
        <w:t>轴处桥墩。</w:t>
      </w:r>
    </w:p>
    <w:p w:rsidR="00DE34A4" w:rsidRDefault="00DE34A4" w:rsidP="00DE34A4">
      <w:pPr>
        <w:spacing w:line="360" w:lineRule="auto"/>
        <w:ind w:firstLineChars="200" w:firstLine="440"/>
        <w:rPr>
          <w:rFonts w:eastAsia="楷体"/>
        </w:rPr>
      </w:pPr>
      <w:r>
        <w:rPr>
          <w:noProof/>
        </w:rPr>
        <w:drawing>
          <wp:inline distT="0" distB="0" distL="0" distR="0" wp14:anchorId="23A3AC0D" wp14:editId="590C3395">
            <wp:extent cx="1622425" cy="1183640"/>
            <wp:effectExtent l="0" t="0" r="0" b="0"/>
            <wp:docPr id="1307760406" name="图片 1307760406"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60406" name="图片 1307760406" descr="图片包含 图示&#10;&#10;描述已自动生成"/>
                    <pic:cNvPicPr>
                      <a:picLocks noChangeAspect="1"/>
                    </pic:cNvPicPr>
                  </pic:nvPicPr>
                  <pic:blipFill>
                    <a:blip r:embed="rId11"/>
                    <a:stretch>
                      <a:fillRect/>
                    </a:stretch>
                  </pic:blipFill>
                  <pic:spPr>
                    <a:xfrm>
                      <a:off x="0" y="0"/>
                      <a:ext cx="1653162" cy="1206631"/>
                    </a:xfrm>
                    <a:prstGeom prst="rect">
                      <a:avLst/>
                    </a:prstGeom>
                  </pic:spPr>
                </pic:pic>
              </a:graphicData>
            </a:graphic>
          </wp:inline>
        </w:drawing>
      </w:r>
      <w:r>
        <w:rPr>
          <w:rFonts w:eastAsia="楷体"/>
        </w:rPr>
        <w:t xml:space="preserve">          </w:t>
      </w:r>
      <w:r>
        <w:rPr>
          <w:noProof/>
        </w:rPr>
        <w:drawing>
          <wp:inline distT="0" distB="0" distL="0" distR="0" wp14:anchorId="4423B232" wp14:editId="2878048D">
            <wp:extent cx="2085975" cy="1193165"/>
            <wp:effectExtent l="0" t="0" r="0" b="6985"/>
            <wp:docPr id="824686094" name="图片 824686094"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86094" name="图片 824686094" descr="图片包含 图示&#10;&#10;描述已自动生成"/>
                    <pic:cNvPicPr>
                      <a:picLocks noChangeAspect="1"/>
                    </pic:cNvPicPr>
                  </pic:nvPicPr>
                  <pic:blipFill>
                    <a:blip r:embed="rId12"/>
                    <a:stretch>
                      <a:fillRect/>
                    </a:stretch>
                  </pic:blipFill>
                  <pic:spPr>
                    <a:xfrm>
                      <a:off x="0" y="0"/>
                      <a:ext cx="2109309" cy="1206569"/>
                    </a:xfrm>
                    <a:prstGeom prst="rect">
                      <a:avLst/>
                    </a:prstGeom>
                  </pic:spPr>
                </pic:pic>
              </a:graphicData>
            </a:graphic>
          </wp:inline>
        </w:drawing>
      </w:r>
    </w:p>
    <w:p w:rsidR="00DE34A4" w:rsidRDefault="00DE34A4" w:rsidP="00DE34A4">
      <w:pPr>
        <w:pStyle w:val="5"/>
        <w:keepNext w:val="0"/>
        <w:keepLines w:val="0"/>
        <w:spacing w:after="156"/>
        <w:rPr>
          <w:rFonts w:ascii="Times New Roman" w:hAnsi="Times New Roman"/>
        </w:rPr>
      </w:pPr>
      <w:r>
        <w:rPr>
          <w:rFonts w:ascii="Times New Roman" w:hAnsi="Times New Roman"/>
        </w:rPr>
        <w:t>砝码尺寸示意图（单位：</w:t>
      </w:r>
      <w:r>
        <w:rPr>
          <w:rFonts w:ascii="Times New Roman" w:hAnsi="Times New Roman"/>
        </w:rPr>
        <w:t>mm</w:t>
      </w:r>
      <w:r>
        <w:rPr>
          <w:rFonts w:ascii="Times New Roman" w:hAnsi="Times New Roman"/>
        </w:rPr>
        <w:t>）</w:t>
      </w:r>
    </w:p>
    <w:p w:rsidR="00DE34A4" w:rsidRDefault="00DE34A4" w:rsidP="00DE34A4">
      <w:pPr>
        <w:pStyle w:val="3"/>
        <w:keepNext w:val="0"/>
        <w:keepLines w:val="0"/>
        <w:numPr>
          <w:ilvl w:val="2"/>
          <w:numId w:val="3"/>
        </w:numPr>
        <w:ind w:left="566" w:hanging="566"/>
      </w:pPr>
      <w:bookmarkStart w:id="11" w:name="_Ref35689448"/>
      <w:r>
        <w:t>桥面板</w:t>
      </w:r>
      <w:bookmarkEnd w:id="11"/>
    </w:p>
    <w:p w:rsidR="00DE34A4" w:rsidRDefault="00DE34A4" w:rsidP="00DE34A4">
      <w:pPr>
        <w:spacing w:line="360" w:lineRule="auto"/>
        <w:ind w:firstLineChars="200" w:firstLine="480"/>
        <w:jc w:val="both"/>
        <w:rPr>
          <w:rFonts w:eastAsia="楷体"/>
          <w:sz w:val="24"/>
          <w:szCs w:val="24"/>
        </w:rPr>
      </w:pPr>
      <w:r>
        <w:rPr>
          <w:rFonts w:eastAsia="楷体"/>
          <w:sz w:val="24"/>
          <w:szCs w:val="24"/>
        </w:rPr>
        <w:t>桥面板的平面尺寸为</w:t>
      </w:r>
      <w:r>
        <w:rPr>
          <w:rFonts w:eastAsia="楷体"/>
          <w:sz w:val="24"/>
          <w:szCs w:val="24"/>
        </w:rPr>
        <w:t>2115mm*330mm</w:t>
      </w:r>
      <w:r>
        <w:rPr>
          <w:rFonts w:eastAsia="楷体"/>
          <w:sz w:val="24"/>
          <w:szCs w:val="24"/>
        </w:rPr>
        <w:t>，由</w:t>
      </w:r>
      <w:r>
        <w:rPr>
          <w:rFonts w:eastAsia="楷体"/>
          <w:sz w:val="24"/>
          <w:szCs w:val="24"/>
        </w:rPr>
        <w:t>2mm</w:t>
      </w:r>
      <w:r>
        <w:rPr>
          <w:rFonts w:eastAsia="楷体"/>
          <w:sz w:val="24"/>
          <w:szCs w:val="24"/>
        </w:rPr>
        <w:t>厚的竹材</w:t>
      </w:r>
      <w:r>
        <w:rPr>
          <w:rFonts w:eastAsia="楷体"/>
          <w:sz w:val="24"/>
          <w:szCs w:val="24"/>
        </w:rPr>
        <w:t>+</w:t>
      </w:r>
      <w:r>
        <w:rPr>
          <w:rFonts w:eastAsia="楷体"/>
          <w:sz w:val="24"/>
          <w:szCs w:val="24"/>
        </w:rPr>
        <w:t>人造革材料构成，表面画上车道线和减速带位置线，粘贴</w:t>
      </w:r>
      <w:r>
        <w:rPr>
          <w:rFonts w:eastAsia="楷体"/>
          <w:sz w:val="24"/>
          <w:szCs w:val="24"/>
        </w:rPr>
        <w:t>5</w:t>
      </w:r>
      <w:r>
        <w:rPr>
          <w:rFonts w:eastAsia="楷体"/>
          <w:sz w:val="24"/>
          <w:szCs w:val="24"/>
        </w:rPr>
        <w:t>根车道隔离带（确保小车行驶不偏离车道）和</w:t>
      </w:r>
      <w:r>
        <w:rPr>
          <w:rFonts w:eastAsia="楷体"/>
          <w:sz w:val="24"/>
          <w:szCs w:val="24"/>
        </w:rPr>
        <w:t>J1</w:t>
      </w:r>
      <w:r>
        <w:rPr>
          <w:rFonts w:eastAsia="楷体"/>
          <w:sz w:val="24"/>
          <w:szCs w:val="24"/>
        </w:rPr>
        <w:t>、</w:t>
      </w:r>
      <w:r>
        <w:rPr>
          <w:rFonts w:eastAsia="楷体"/>
          <w:sz w:val="24"/>
          <w:szCs w:val="24"/>
        </w:rPr>
        <w:t>J2</w:t>
      </w:r>
      <w:r>
        <w:rPr>
          <w:rFonts w:eastAsia="楷体"/>
          <w:sz w:val="24"/>
          <w:szCs w:val="24"/>
        </w:rPr>
        <w:t>、</w:t>
      </w:r>
      <w:r>
        <w:rPr>
          <w:rFonts w:eastAsia="楷体"/>
          <w:sz w:val="24"/>
          <w:szCs w:val="24"/>
        </w:rPr>
        <w:t>J3</w:t>
      </w:r>
      <w:r>
        <w:rPr>
          <w:rFonts w:eastAsia="楷体"/>
          <w:sz w:val="24"/>
          <w:szCs w:val="24"/>
        </w:rPr>
        <w:t>、</w:t>
      </w:r>
      <w:r>
        <w:rPr>
          <w:rFonts w:eastAsia="楷体"/>
          <w:sz w:val="24"/>
          <w:szCs w:val="24"/>
        </w:rPr>
        <w:t>J4</w:t>
      </w:r>
      <w:r>
        <w:rPr>
          <w:rFonts w:eastAsia="楷体"/>
          <w:sz w:val="24"/>
          <w:szCs w:val="24"/>
        </w:rPr>
        <w:t>四根减速带，减速带位置将桥跨大致分为三等分，车道隔离带和减速带横截面尺寸如图</w:t>
      </w:r>
      <w:r>
        <w:rPr>
          <w:rFonts w:eastAsia="楷体"/>
          <w:sz w:val="24"/>
          <w:szCs w:val="24"/>
        </w:rPr>
        <w:t>5</w:t>
      </w:r>
      <w:r>
        <w:rPr>
          <w:rFonts w:eastAsia="楷体"/>
          <w:sz w:val="24"/>
          <w:szCs w:val="24"/>
        </w:rPr>
        <w:t>所示，加载时桥面板</w:t>
      </w:r>
      <w:r>
        <w:rPr>
          <w:rFonts w:eastAsia="楷体"/>
          <w:sz w:val="24"/>
          <w:szCs w:val="24"/>
        </w:rPr>
        <w:t>J1</w:t>
      </w:r>
      <w:r>
        <w:rPr>
          <w:rFonts w:eastAsia="楷体"/>
          <w:sz w:val="24"/>
          <w:szCs w:val="24"/>
        </w:rPr>
        <w:t>减速带中心线与</w:t>
      </w:r>
      <w:r>
        <w:rPr>
          <w:rFonts w:eastAsia="楷体"/>
          <w:sz w:val="24"/>
          <w:szCs w:val="24"/>
        </w:rPr>
        <w:fldChar w:fldCharType="begin"/>
      </w:r>
      <w:r>
        <w:rPr>
          <w:rFonts w:eastAsia="楷体"/>
          <w:sz w:val="24"/>
          <w:szCs w:val="24"/>
        </w:rPr>
        <w:instrText xml:space="preserve"> = 1 \* GB3 </w:instrText>
      </w:r>
      <w:r>
        <w:rPr>
          <w:rFonts w:eastAsia="楷体"/>
          <w:sz w:val="24"/>
          <w:szCs w:val="24"/>
        </w:rPr>
        <w:fldChar w:fldCharType="separate"/>
      </w:r>
      <w:r>
        <w:rPr>
          <w:rFonts w:ascii="宋体" w:eastAsia="宋体" w:hAnsi="宋体" w:cs="宋体" w:hint="eastAsia"/>
          <w:sz w:val="24"/>
          <w:szCs w:val="24"/>
        </w:rPr>
        <w:t>①</w:t>
      </w:r>
      <w:r>
        <w:rPr>
          <w:rFonts w:eastAsia="楷体"/>
          <w:sz w:val="24"/>
          <w:szCs w:val="24"/>
        </w:rPr>
        <w:fldChar w:fldCharType="end"/>
      </w:r>
      <w:r>
        <w:rPr>
          <w:rFonts w:eastAsia="楷体"/>
          <w:sz w:val="24"/>
          <w:szCs w:val="24"/>
        </w:rPr>
        <w:t>轴线重合（或</w:t>
      </w:r>
      <w:r>
        <w:rPr>
          <w:rFonts w:eastAsia="楷体"/>
          <w:sz w:val="24"/>
          <w:szCs w:val="24"/>
        </w:rPr>
        <w:t>J4</w:t>
      </w:r>
      <w:r>
        <w:rPr>
          <w:rFonts w:eastAsia="楷体"/>
          <w:sz w:val="24"/>
          <w:szCs w:val="24"/>
        </w:rPr>
        <w:t>减速带中心线与</w:t>
      </w:r>
      <w:r>
        <w:rPr>
          <w:rFonts w:eastAsia="楷体"/>
          <w:sz w:val="24"/>
          <w:szCs w:val="24"/>
        </w:rPr>
        <w:fldChar w:fldCharType="begin"/>
      </w:r>
      <w:r>
        <w:rPr>
          <w:rFonts w:eastAsia="楷体"/>
          <w:sz w:val="24"/>
          <w:szCs w:val="24"/>
        </w:rPr>
        <w:instrText xml:space="preserve"> = 4 \* GB3 </w:instrText>
      </w:r>
      <w:r>
        <w:rPr>
          <w:rFonts w:eastAsia="楷体"/>
          <w:sz w:val="24"/>
          <w:szCs w:val="24"/>
        </w:rPr>
        <w:fldChar w:fldCharType="separate"/>
      </w:r>
      <w:r>
        <w:rPr>
          <w:rFonts w:ascii="宋体" w:eastAsia="宋体" w:hAnsi="宋体" w:cs="宋体" w:hint="eastAsia"/>
          <w:sz w:val="24"/>
          <w:szCs w:val="24"/>
        </w:rPr>
        <w:t>④</w:t>
      </w:r>
      <w:r>
        <w:rPr>
          <w:rFonts w:eastAsia="楷体"/>
          <w:sz w:val="24"/>
          <w:szCs w:val="24"/>
        </w:rPr>
        <w:fldChar w:fldCharType="end"/>
      </w:r>
      <w:r>
        <w:rPr>
          <w:rFonts w:eastAsia="楷体"/>
          <w:sz w:val="24"/>
          <w:szCs w:val="24"/>
        </w:rPr>
        <w:t>轴线重合），允许队员在</w:t>
      </w:r>
      <w:r>
        <w:rPr>
          <w:rFonts w:eastAsia="楷体"/>
          <w:sz w:val="24"/>
          <w:szCs w:val="24"/>
        </w:rPr>
        <w:t>A</w:t>
      </w:r>
      <w:r>
        <w:rPr>
          <w:rFonts w:eastAsia="楷体"/>
          <w:sz w:val="24"/>
          <w:szCs w:val="24"/>
        </w:rPr>
        <w:t>或</w:t>
      </w:r>
      <w:r>
        <w:rPr>
          <w:rFonts w:eastAsia="楷体"/>
          <w:sz w:val="24"/>
          <w:szCs w:val="24"/>
        </w:rPr>
        <w:t>B</w:t>
      </w:r>
      <w:r>
        <w:rPr>
          <w:rFonts w:eastAsia="楷体"/>
          <w:sz w:val="24"/>
          <w:szCs w:val="24"/>
        </w:rPr>
        <w:t>桥岸端部压住桥面板（不允许两桥岸同时压住），确保小车行驶时桥面板相对位置不滑动。</w:t>
      </w:r>
    </w:p>
    <w:tbl>
      <w:tblPr>
        <w:tblW w:w="5000" w:type="pct"/>
        <w:tblLook w:val="04A0" w:firstRow="1" w:lastRow="0" w:firstColumn="1" w:lastColumn="0" w:noHBand="0" w:noVBand="1"/>
      </w:tblPr>
      <w:tblGrid>
        <w:gridCol w:w="6397"/>
        <w:gridCol w:w="2131"/>
      </w:tblGrid>
      <w:tr w:rsidR="00DE34A4" w:rsidTr="00CF44D4">
        <w:trPr>
          <w:trHeight w:val="981"/>
        </w:trPr>
        <w:tc>
          <w:tcPr>
            <w:tcW w:w="3627" w:type="pct"/>
            <w:vMerge w:val="restart"/>
            <w:vAlign w:val="center"/>
          </w:tcPr>
          <w:p w:rsidR="00DE34A4" w:rsidRDefault="00DE34A4" w:rsidP="00CF44D4">
            <w:pPr>
              <w:jc w:val="center"/>
            </w:pPr>
            <w:r>
              <w:rPr>
                <w:noProof/>
              </w:rPr>
              <w:lastRenderedPageBreak/>
              <w:drawing>
                <wp:inline distT="0" distB="0" distL="0" distR="0" wp14:anchorId="1F536DA4" wp14:editId="5EA1ECF1">
                  <wp:extent cx="3924935" cy="1502410"/>
                  <wp:effectExtent l="0" t="0" r="0" b="2540"/>
                  <wp:docPr id="19" name="图片 19" descr="截图里有图片&#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截图里有图片&#10;&#10;中度可信度描述已自动生成"/>
                          <pic:cNvPicPr>
                            <a:picLocks noChangeAspect="1"/>
                          </pic:cNvPicPr>
                        </pic:nvPicPr>
                        <pic:blipFill>
                          <a:blip r:embed="rId13"/>
                          <a:stretch>
                            <a:fillRect/>
                          </a:stretch>
                        </pic:blipFill>
                        <pic:spPr>
                          <a:xfrm>
                            <a:off x="0" y="0"/>
                            <a:ext cx="4008464" cy="1534351"/>
                          </a:xfrm>
                          <a:prstGeom prst="rect">
                            <a:avLst/>
                          </a:prstGeom>
                        </pic:spPr>
                      </pic:pic>
                    </a:graphicData>
                  </a:graphic>
                </wp:inline>
              </w:drawing>
            </w:r>
          </w:p>
        </w:tc>
        <w:tc>
          <w:tcPr>
            <w:tcW w:w="1373" w:type="pct"/>
            <w:vAlign w:val="center"/>
          </w:tcPr>
          <w:p w:rsidR="00DE34A4" w:rsidRDefault="00DE34A4" w:rsidP="00CF44D4">
            <w:pPr>
              <w:jc w:val="center"/>
            </w:pPr>
            <w:r>
              <w:rPr>
                <w:noProof/>
              </w:rPr>
              <w:drawing>
                <wp:inline distT="0" distB="0" distL="0" distR="0" wp14:anchorId="050BB485" wp14:editId="2D18F310">
                  <wp:extent cx="1188085" cy="541655"/>
                  <wp:effectExtent l="0" t="0" r="0" b="0"/>
                  <wp:docPr id="15" name="图片 15" descr="图表&#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表&#10;&#10;低可信度描述已自动生成"/>
                          <pic:cNvPicPr>
                            <a:picLocks noChangeAspect="1"/>
                          </pic:cNvPicPr>
                        </pic:nvPicPr>
                        <pic:blipFill>
                          <a:blip r:embed="rId14"/>
                          <a:srcRect l="80017" t="5325" r="978" b="65150"/>
                          <a:stretch>
                            <a:fillRect/>
                          </a:stretch>
                        </pic:blipFill>
                        <pic:spPr>
                          <a:xfrm>
                            <a:off x="0" y="0"/>
                            <a:ext cx="1190527" cy="543331"/>
                          </a:xfrm>
                          <a:prstGeom prst="rect">
                            <a:avLst/>
                          </a:prstGeom>
                          <a:ln>
                            <a:noFill/>
                          </a:ln>
                        </pic:spPr>
                      </pic:pic>
                    </a:graphicData>
                  </a:graphic>
                </wp:inline>
              </w:drawing>
            </w:r>
          </w:p>
        </w:tc>
      </w:tr>
      <w:tr w:rsidR="00DE34A4" w:rsidTr="00CF44D4">
        <w:trPr>
          <w:trHeight w:val="426"/>
        </w:trPr>
        <w:tc>
          <w:tcPr>
            <w:tcW w:w="3627" w:type="pct"/>
            <w:vMerge/>
            <w:vAlign w:val="center"/>
          </w:tcPr>
          <w:p w:rsidR="00DE34A4" w:rsidRDefault="00DE34A4" w:rsidP="00CF44D4">
            <w:pPr>
              <w:jc w:val="center"/>
            </w:pPr>
          </w:p>
        </w:tc>
        <w:tc>
          <w:tcPr>
            <w:tcW w:w="1373" w:type="pct"/>
            <w:vAlign w:val="center"/>
          </w:tcPr>
          <w:p w:rsidR="00DE34A4" w:rsidRDefault="00DE34A4" w:rsidP="00CF44D4">
            <w:pPr>
              <w:rPr>
                <w:b/>
                <w:sz w:val="21"/>
                <w:szCs w:val="21"/>
              </w:rPr>
            </w:pPr>
            <w:r>
              <w:rPr>
                <w:b/>
                <w:sz w:val="21"/>
                <w:szCs w:val="21"/>
              </w:rPr>
              <w:t>（</w:t>
            </w:r>
            <w:r>
              <w:rPr>
                <w:b/>
                <w:sz w:val="21"/>
                <w:szCs w:val="21"/>
              </w:rPr>
              <w:t>b</w:t>
            </w:r>
            <w:r>
              <w:rPr>
                <w:b/>
                <w:sz w:val="21"/>
                <w:szCs w:val="21"/>
              </w:rPr>
              <w:t>）</w:t>
            </w:r>
            <w:r>
              <w:rPr>
                <w:sz w:val="21"/>
              </w:rPr>
              <w:t>减速带横截面</w:t>
            </w:r>
          </w:p>
        </w:tc>
      </w:tr>
      <w:tr w:rsidR="00DE34A4" w:rsidTr="00CF44D4">
        <w:trPr>
          <w:trHeight w:val="1339"/>
        </w:trPr>
        <w:tc>
          <w:tcPr>
            <w:tcW w:w="3627" w:type="pct"/>
            <w:vMerge/>
            <w:vAlign w:val="center"/>
          </w:tcPr>
          <w:p w:rsidR="00DE34A4" w:rsidRDefault="00DE34A4" w:rsidP="00CF44D4">
            <w:pPr>
              <w:jc w:val="center"/>
            </w:pPr>
          </w:p>
        </w:tc>
        <w:tc>
          <w:tcPr>
            <w:tcW w:w="1373" w:type="pct"/>
            <w:vAlign w:val="center"/>
          </w:tcPr>
          <w:p w:rsidR="00DE34A4" w:rsidRDefault="00DE34A4" w:rsidP="00CF44D4">
            <w:pPr>
              <w:jc w:val="center"/>
              <w:rPr>
                <w:b/>
                <w:sz w:val="21"/>
                <w:szCs w:val="21"/>
              </w:rPr>
            </w:pPr>
            <w:r>
              <w:rPr>
                <w:noProof/>
              </w:rPr>
              <w:drawing>
                <wp:inline distT="0" distB="0" distL="0" distR="0" wp14:anchorId="31316EC0" wp14:editId="50728F98">
                  <wp:extent cx="1186180" cy="760730"/>
                  <wp:effectExtent l="0" t="0" r="7620" b="1270"/>
                  <wp:docPr id="21" name="图片 21" descr="图表&#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表&#10;&#10;低可信度描述已自动生成"/>
                          <pic:cNvPicPr>
                            <a:picLocks noChangeAspect="1"/>
                          </pic:cNvPicPr>
                        </pic:nvPicPr>
                        <pic:blipFill>
                          <a:blip r:embed="rId14"/>
                          <a:srcRect l="80017" t="58647" r="978" b="53"/>
                          <a:stretch>
                            <a:fillRect/>
                          </a:stretch>
                        </pic:blipFill>
                        <pic:spPr>
                          <a:xfrm>
                            <a:off x="0" y="0"/>
                            <a:ext cx="1186555" cy="760730"/>
                          </a:xfrm>
                          <a:prstGeom prst="rect">
                            <a:avLst/>
                          </a:prstGeom>
                          <a:ln>
                            <a:noFill/>
                          </a:ln>
                        </pic:spPr>
                      </pic:pic>
                    </a:graphicData>
                  </a:graphic>
                </wp:inline>
              </w:drawing>
            </w:r>
          </w:p>
        </w:tc>
      </w:tr>
      <w:tr w:rsidR="00DE34A4" w:rsidTr="00CF44D4">
        <w:trPr>
          <w:trHeight w:val="351"/>
        </w:trPr>
        <w:tc>
          <w:tcPr>
            <w:tcW w:w="3627" w:type="pct"/>
            <w:vAlign w:val="center"/>
          </w:tcPr>
          <w:p w:rsidR="00DE34A4" w:rsidRDefault="00DE34A4" w:rsidP="00CF44D4">
            <w:pPr>
              <w:jc w:val="center"/>
              <w:rPr>
                <w:b/>
                <w:sz w:val="21"/>
                <w:szCs w:val="21"/>
              </w:rPr>
            </w:pPr>
            <w:r>
              <w:rPr>
                <w:b/>
                <w:sz w:val="21"/>
                <w:szCs w:val="21"/>
              </w:rPr>
              <w:t>（</w:t>
            </w:r>
            <w:r>
              <w:rPr>
                <w:b/>
                <w:sz w:val="21"/>
                <w:szCs w:val="21"/>
              </w:rPr>
              <w:t>a</w:t>
            </w:r>
            <w:r>
              <w:rPr>
                <w:b/>
                <w:sz w:val="21"/>
                <w:szCs w:val="21"/>
              </w:rPr>
              <w:t>）</w:t>
            </w:r>
            <w:r>
              <w:rPr>
                <w:sz w:val="21"/>
              </w:rPr>
              <w:t>桥面板示意图</w:t>
            </w:r>
          </w:p>
        </w:tc>
        <w:tc>
          <w:tcPr>
            <w:tcW w:w="1373" w:type="pct"/>
            <w:vAlign w:val="center"/>
          </w:tcPr>
          <w:p w:rsidR="00DE34A4" w:rsidRDefault="00DE34A4" w:rsidP="00CF44D4">
            <w:pPr>
              <w:rPr>
                <w:b/>
                <w:sz w:val="21"/>
                <w:szCs w:val="21"/>
              </w:rPr>
            </w:pPr>
            <w:r>
              <w:rPr>
                <w:b/>
                <w:sz w:val="21"/>
                <w:szCs w:val="21"/>
              </w:rPr>
              <w:t>（</w:t>
            </w:r>
            <w:r>
              <w:rPr>
                <w:b/>
                <w:sz w:val="21"/>
                <w:szCs w:val="21"/>
              </w:rPr>
              <w:t>c</w:t>
            </w:r>
            <w:r>
              <w:rPr>
                <w:b/>
                <w:sz w:val="21"/>
                <w:szCs w:val="21"/>
              </w:rPr>
              <w:t>）</w:t>
            </w:r>
            <w:r>
              <w:rPr>
                <w:sz w:val="21"/>
              </w:rPr>
              <w:t>隔离带横截面</w:t>
            </w:r>
          </w:p>
        </w:tc>
      </w:tr>
      <w:tr w:rsidR="00DE34A4" w:rsidTr="00CF44D4">
        <w:trPr>
          <w:trHeight w:val="427"/>
        </w:trPr>
        <w:tc>
          <w:tcPr>
            <w:tcW w:w="5000" w:type="pct"/>
            <w:gridSpan w:val="2"/>
            <w:vAlign w:val="center"/>
          </w:tcPr>
          <w:p w:rsidR="00DE34A4" w:rsidRDefault="00DE34A4" w:rsidP="00CF44D4">
            <w:pPr>
              <w:pStyle w:val="5"/>
              <w:keepNext w:val="0"/>
              <w:keepLines w:val="0"/>
              <w:spacing w:after="156"/>
              <w:rPr>
                <w:rFonts w:ascii="Times New Roman" w:hAnsi="Times New Roman"/>
                <w:b w:val="0"/>
                <w:bCs w:val="0"/>
              </w:rPr>
            </w:pPr>
            <w:r>
              <w:rPr>
                <w:rFonts w:ascii="Times New Roman" w:hAnsi="Times New Roman"/>
                <w:b w:val="0"/>
                <w:bCs w:val="0"/>
              </w:rPr>
              <w:t>桥面板示意图（含减速带、隔离带）（单位：</w:t>
            </w:r>
            <w:r>
              <w:rPr>
                <w:rFonts w:ascii="Times New Roman" w:hAnsi="Times New Roman"/>
                <w:b w:val="0"/>
                <w:bCs w:val="0"/>
              </w:rPr>
              <w:t>mm</w:t>
            </w:r>
            <w:r>
              <w:rPr>
                <w:rFonts w:ascii="Times New Roman" w:hAnsi="Times New Roman"/>
                <w:b w:val="0"/>
                <w:bCs w:val="0"/>
              </w:rPr>
              <w:t>）</w:t>
            </w:r>
          </w:p>
        </w:tc>
      </w:tr>
    </w:tbl>
    <w:p w:rsidR="00DE34A4" w:rsidRDefault="00DE34A4" w:rsidP="00DE34A4">
      <w:pPr>
        <w:pStyle w:val="1"/>
        <w:numPr>
          <w:ilvl w:val="0"/>
          <w:numId w:val="3"/>
        </w:numPr>
        <w:spacing w:before="156" w:after="156" w:line="240" w:lineRule="auto"/>
        <w:ind w:left="0" w:firstLine="0"/>
        <w:rPr>
          <w:rFonts w:eastAsia="宋体"/>
          <w:sz w:val="32"/>
          <w:szCs w:val="32"/>
        </w:rPr>
      </w:pPr>
      <w:r>
        <w:rPr>
          <w:rFonts w:eastAsia="宋体"/>
          <w:sz w:val="32"/>
          <w:szCs w:val="32"/>
        </w:rPr>
        <w:t>加载装置</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加载装置组成</w:t>
      </w:r>
    </w:p>
    <w:p w:rsidR="00DE34A4" w:rsidRDefault="00DE34A4" w:rsidP="00DE34A4">
      <w:pPr>
        <w:spacing w:line="360" w:lineRule="auto"/>
        <w:ind w:firstLineChars="200" w:firstLine="440"/>
        <w:rPr>
          <w:rFonts w:eastAsia="楷体"/>
        </w:rPr>
      </w:pPr>
      <w:r>
        <w:rPr>
          <w:rFonts w:eastAsia="楷体"/>
        </w:rPr>
        <w:t>加载装置如图</w:t>
      </w:r>
      <w:r>
        <w:rPr>
          <w:rFonts w:eastAsia="楷体"/>
        </w:rPr>
        <w:t>6</w:t>
      </w:r>
      <w:r>
        <w:rPr>
          <w:rFonts w:eastAsia="楷体"/>
        </w:rPr>
        <w:t>所示。组成加载装置的主要构件为铝型材，通过角铝和螺栓进行连接，其它附件包括光幕位移计、声光报警器、位移电源系统（</w:t>
      </w:r>
      <w:r>
        <w:rPr>
          <w:rFonts w:eastAsia="楷体"/>
        </w:rPr>
        <w:t>24V</w:t>
      </w:r>
      <w:r>
        <w:rPr>
          <w:rFonts w:eastAsia="楷体"/>
        </w:rPr>
        <w:t>）、位移挡板、小球、滑球轨道等。</w:t>
      </w:r>
    </w:p>
    <w:tbl>
      <w:tblPr>
        <w:tblW w:w="0" w:type="auto"/>
        <w:tblLook w:val="04A0" w:firstRow="1" w:lastRow="0" w:firstColumn="1" w:lastColumn="0" w:noHBand="0" w:noVBand="1"/>
      </w:tblPr>
      <w:tblGrid>
        <w:gridCol w:w="8528"/>
      </w:tblGrid>
      <w:tr w:rsidR="00DE34A4" w:rsidTr="00CF44D4">
        <w:trPr>
          <w:trHeight w:val="2778"/>
        </w:trPr>
        <w:tc>
          <w:tcPr>
            <w:tcW w:w="10081" w:type="dxa"/>
          </w:tcPr>
          <w:p w:rsidR="00DE34A4" w:rsidRDefault="00DE34A4" w:rsidP="00CF44D4">
            <w:pPr>
              <w:pStyle w:val="a9"/>
              <w:rPr>
                <w:rFonts w:ascii="Times New Roman" w:hAnsi="Times New Roman"/>
                <w:b/>
                <w:sz w:val="21"/>
                <w:szCs w:val="21"/>
              </w:rPr>
            </w:pPr>
            <w:r>
              <w:rPr>
                <w:rFonts w:ascii="Times New Roman" w:hAnsi="Times New Roman"/>
                <w:noProof/>
              </w:rPr>
              <w:drawing>
                <wp:inline distT="0" distB="0" distL="0" distR="0" wp14:anchorId="55FB9DDF" wp14:editId="30E4642E">
                  <wp:extent cx="4523105" cy="2660650"/>
                  <wp:effectExtent l="0" t="0" r="0" b="5715"/>
                  <wp:docPr id="25" name="图片 2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示&#10;&#10;描述已自动生成"/>
                          <pic:cNvPicPr>
                            <a:picLocks noChangeAspect="1"/>
                          </pic:cNvPicPr>
                        </pic:nvPicPr>
                        <pic:blipFill>
                          <a:blip r:embed="rId15"/>
                          <a:stretch>
                            <a:fillRect/>
                          </a:stretch>
                        </pic:blipFill>
                        <pic:spPr>
                          <a:xfrm>
                            <a:off x="0" y="0"/>
                            <a:ext cx="4523105" cy="2660650"/>
                          </a:xfrm>
                          <a:prstGeom prst="rect">
                            <a:avLst/>
                          </a:prstGeom>
                        </pic:spPr>
                      </pic:pic>
                    </a:graphicData>
                  </a:graphic>
                </wp:inline>
              </w:drawing>
            </w:r>
          </w:p>
        </w:tc>
      </w:tr>
      <w:tr w:rsidR="00DE34A4" w:rsidTr="00CF44D4">
        <w:trPr>
          <w:trHeight w:val="451"/>
        </w:trPr>
        <w:tc>
          <w:tcPr>
            <w:tcW w:w="10081" w:type="dxa"/>
          </w:tcPr>
          <w:p w:rsidR="00DE34A4" w:rsidRDefault="00DE34A4" w:rsidP="00CF44D4">
            <w:pPr>
              <w:pStyle w:val="5"/>
              <w:keepNext w:val="0"/>
              <w:keepLines w:val="0"/>
              <w:spacing w:beforeLines="50" w:before="156" w:afterLines="0" w:line="240" w:lineRule="auto"/>
              <w:rPr>
                <w:rFonts w:ascii="Times New Roman" w:hAnsi="Times New Roman"/>
              </w:rPr>
            </w:pPr>
            <w:bookmarkStart w:id="12" w:name="_Ref28681021"/>
            <w:r>
              <w:rPr>
                <w:rFonts w:ascii="Times New Roman" w:hAnsi="Times New Roman"/>
              </w:rPr>
              <w:t>加载装置轴测示意图</w:t>
            </w:r>
            <w:bookmarkEnd w:id="12"/>
          </w:p>
        </w:tc>
      </w:tr>
    </w:tbl>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加载小车</w:t>
      </w:r>
    </w:p>
    <w:p w:rsidR="00DE34A4" w:rsidRDefault="00DE34A4" w:rsidP="00DE34A4">
      <w:pPr>
        <w:spacing w:line="360" w:lineRule="auto"/>
        <w:ind w:firstLineChars="200" w:firstLine="440"/>
        <w:rPr>
          <w:rFonts w:eastAsia="楷体"/>
        </w:rPr>
      </w:pPr>
      <w:r>
        <w:rPr>
          <w:rFonts w:eastAsia="楷体"/>
        </w:rPr>
        <w:t>小车轴测示意图如图</w:t>
      </w:r>
      <w:r>
        <w:rPr>
          <w:rFonts w:eastAsia="楷体"/>
        </w:rPr>
        <w:t>7</w:t>
      </w:r>
      <w:r>
        <w:rPr>
          <w:rFonts w:eastAsia="楷体"/>
        </w:rPr>
        <w:t>所示，小车尺寸如图</w:t>
      </w:r>
      <w:r>
        <w:rPr>
          <w:rFonts w:eastAsia="楷体"/>
        </w:rPr>
        <w:t>8</w:t>
      </w:r>
      <w:r>
        <w:rPr>
          <w:rFonts w:eastAsia="楷体"/>
        </w:rPr>
        <w:t>所示，每辆小车内最多可放</w:t>
      </w:r>
      <w:r>
        <w:rPr>
          <w:rFonts w:eastAsia="楷体"/>
        </w:rPr>
        <w:t>6kg</w:t>
      </w:r>
      <w:r>
        <w:rPr>
          <w:rFonts w:eastAsia="楷体"/>
        </w:rPr>
        <w:t>定制砝码，其中</w:t>
      </w:r>
      <w:r>
        <w:rPr>
          <w:rFonts w:eastAsia="楷体"/>
        </w:rPr>
        <w:t>2kg</w:t>
      </w:r>
      <w:r>
        <w:rPr>
          <w:rFonts w:eastAsia="楷体"/>
        </w:rPr>
        <w:t>砝码放置在小车最底层，</w:t>
      </w:r>
      <w:r>
        <w:rPr>
          <w:rFonts w:eastAsia="楷体"/>
          <w:b/>
          <w:bCs/>
        </w:rPr>
        <w:t>小车南端（</w:t>
      </w:r>
      <w:r>
        <w:rPr>
          <w:rFonts w:eastAsia="楷体"/>
          <w:b/>
          <w:bCs/>
        </w:rPr>
        <w:t>B</w:t>
      </w:r>
      <w:r>
        <w:rPr>
          <w:rFonts w:eastAsia="楷体"/>
          <w:b/>
          <w:bCs/>
        </w:rPr>
        <w:t>桥岸方向）方孔内</w:t>
      </w:r>
      <w:r>
        <w:rPr>
          <w:rFonts w:eastAsia="楷体"/>
        </w:rPr>
        <w:t>插入图</w:t>
      </w:r>
      <w:r>
        <w:rPr>
          <w:rFonts w:eastAsia="楷体"/>
        </w:rPr>
        <w:t>8</w:t>
      </w:r>
      <w:r>
        <w:rPr>
          <w:rFonts w:eastAsia="楷体"/>
        </w:rPr>
        <w:t>（</w:t>
      </w:r>
      <w:r>
        <w:rPr>
          <w:rFonts w:eastAsia="楷体"/>
        </w:rPr>
        <w:t>d</w:t>
      </w:r>
      <w:r>
        <w:rPr>
          <w:rFonts w:eastAsia="楷体"/>
        </w:rPr>
        <w:t>）</w:t>
      </w:r>
      <w:r>
        <w:rPr>
          <w:rFonts w:eastAsia="楷体"/>
        </w:rPr>
        <w:lastRenderedPageBreak/>
        <w:t>所示位移挡板，用于控制加载时桥梁的挠度限值</w:t>
      </w:r>
      <w:r>
        <w:rPr>
          <w:rFonts w:eastAsia="楷体"/>
          <w:b/>
          <w:bCs/>
          <w:sz w:val="21"/>
          <w:szCs w:val="21"/>
        </w:rPr>
        <w:t>[w]</w:t>
      </w:r>
      <w:r>
        <w:rPr>
          <w:rFonts w:eastAsia="楷体"/>
        </w:rPr>
        <w:t>，每辆小车（含位移挡板）和牵引绳的质量之和约为</w:t>
      </w:r>
      <w:r>
        <w:rPr>
          <w:rFonts w:eastAsia="楷体"/>
        </w:rPr>
        <w:t>200g</w:t>
      </w:r>
      <w:r>
        <w:rPr>
          <w:rFonts w:eastAsia="楷体"/>
          <w:szCs w:val="21"/>
        </w:rPr>
        <w:t>。</w:t>
      </w:r>
    </w:p>
    <w:tbl>
      <w:tblPr>
        <w:tblW w:w="5000" w:type="pct"/>
        <w:tblLook w:val="04A0" w:firstRow="1" w:lastRow="0" w:firstColumn="1" w:lastColumn="0" w:noHBand="0" w:noVBand="1"/>
      </w:tblPr>
      <w:tblGrid>
        <w:gridCol w:w="4394"/>
        <w:gridCol w:w="4134"/>
      </w:tblGrid>
      <w:tr w:rsidR="00DE34A4" w:rsidTr="00CF44D4">
        <w:tc>
          <w:tcPr>
            <w:tcW w:w="5000" w:type="pct"/>
            <w:gridSpan w:val="2"/>
          </w:tcPr>
          <w:p w:rsidR="00DE34A4" w:rsidRDefault="00DE34A4" w:rsidP="00CF44D4">
            <w:pPr>
              <w:pStyle w:val="a9"/>
              <w:rPr>
                <w:rFonts w:ascii="Times New Roman" w:hAnsi="Times New Roman"/>
                <w:b/>
                <w:sz w:val="21"/>
                <w:szCs w:val="21"/>
              </w:rPr>
            </w:pPr>
            <w:r>
              <w:rPr>
                <w:rFonts w:ascii="Times New Roman" w:hAnsi="Times New Roman"/>
                <w:noProof/>
              </w:rPr>
              <w:drawing>
                <wp:inline distT="0" distB="0" distL="0" distR="0" wp14:anchorId="44E40F54" wp14:editId="7C2CE274">
                  <wp:extent cx="2819400" cy="1427480"/>
                  <wp:effectExtent l="0" t="0" r="8890" b="8255"/>
                  <wp:docPr id="3"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描述已自动生成"/>
                          <pic:cNvPicPr>
                            <a:picLocks noChangeAspect="1"/>
                          </pic:cNvPicPr>
                        </pic:nvPicPr>
                        <pic:blipFill>
                          <a:blip r:embed="rId16"/>
                          <a:stretch>
                            <a:fillRect/>
                          </a:stretch>
                        </pic:blipFill>
                        <pic:spPr>
                          <a:xfrm>
                            <a:off x="0" y="0"/>
                            <a:ext cx="2844653" cy="1440637"/>
                          </a:xfrm>
                          <a:prstGeom prst="rect">
                            <a:avLst/>
                          </a:prstGeom>
                        </pic:spPr>
                      </pic:pic>
                    </a:graphicData>
                  </a:graphic>
                </wp:inline>
              </w:drawing>
            </w:r>
          </w:p>
        </w:tc>
      </w:tr>
      <w:tr w:rsidR="00DE34A4" w:rsidTr="00CF44D4">
        <w:tc>
          <w:tcPr>
            <w:tcW w:w="5000" w:type="pct"/>
            <w:gridSpan w:val="2"/>
          </w:tcPr>
          <w:p w:rsidR="00DE34A4" w:rsidRDefault="00DE34A4" w:rsidP="00CF44D4">
            <w:pPr>
              <w:pStyle w:val="5"/>
              <w:keepNext w:val="0"/>
              <w:keepLines w:val="0"/>
              <w:spacing w:afterLines="0"/>
              <w:rPr>
                <w:rFonts w:ascii="Times New Roman" w:hAnsi="Times New Roman"/>
              </w:rPr>
            </w:pPr>
            <w:r>
              <w:rPr>
                <w:rFonts w:ascii="Times New Roman" w:hAnsi="Times New Roman"/>
              </w:rPr>
              <w:t>小车轴测示意图</w:t>
            </w:r>
          </w:p>
        </w:tc>
      </w:tr>
      <w:tr w:rsidR="00DE34A4" w:rsidTr="00CF44D4">
        <w:tc>
          <w:tcPr>
            <w:tcW w:w="2500" w:type="pct"/>
          </w:tcPr>
          <w:p w:rsidR="00DE34A4" w:rsidRDefault="00DE34A4" w:rsidP="00CF44D4">
            <w:pPr>
              <w:jc w:val="center"/>
            </w:pPr>
            <w:r>
              <w:rPr>
                <w:noProof/>
              </w:rPr>
              <w:drawing>
                <wp:inline distT="0" distB="0" distL="0" distR="0" wp14:anchorId="60F86D48" wp14:editId="358547C9">
                  <wp:extent cx="2493645" cy="1775460"/>
                  <wp:effectExtent l="0" t="0" r="1905" b="0"/>
                  <wp:docPr id="40" name="图片 40"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图示, 示意图&#10;&#10;描述已自动生成"/>
                          <pic:cNvPicPr>
                            <a:picLocks noChangeAspect="1"/>
                          </pic:cNvPicPr>
                        </pic:nvPicPr>
                        <pic:blipFill>
                          <a:blip r:embed="rId17"/>
                          <a:srcRect l="18587"/>
                          <a:stretch>
                            <a:fillRect/>
                          </a:stretch>
                        </pic:blipFill>
                        <pic:spPr>
                          <a:xfrm>
                            <a:off x="0" y="0"/>
                            <a:ext cx="2493896" cy="1775460"/>
                          </a:xfrm>
                          <a:prstGeom prst="rect">
                            <a:avLst/>
                          </a:prstGeom>
                          <a:ln>
                            <a:noFill/>
                          </a:ln>
                        </pic:spPr>
                      </pic:pic>
                    </a:graphicData>
                  </a:graphic>
                </wp:inline>
              </w:drawing>
            </w:r>
          </w:p>
        </w:tc>
        <w:tc>
          <w:tcPr>
            <w:tcW w:w="2500" w:type="pct"/>
          </w:tcPr>
          <w:p w:rsidR="00DE34A4" w:rsidRDefault="00DE34A4" w:rsidP="00CF44D4">
            <w:pPr>
              <w:jc w:val="center"/>
            </w:pPr>
            <w:r>
              <w:rPr>
                <w:noProof/>
              </w:rPr>
              <w:drawing>
                <wp:inline distT="0" distB="0" distL="0" distR="0" wp14:anchorId="551FC1AF" wp14:editId="3E564458">
                  <wp:extent cx="1526540" cy="1766570"/>
                  <wp:effectExtent l="0" t="0" r="0" b="5080"/>
                  <wp:docPr id="41" name="图片 4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图表&#10;&#10;描述已自动生成"/>
                          <pic:cNvPicPr>
                            <a:picLocks noChangeAspect="1"/>
                          </pic:cNvPicPr>
                        </pic:nvPicPr>
                        <pic:blipFill>
                          <a:blip r:embed="rId18"/>
                          <a:srcRect l="27312" r="22856"/>
                          <a:stretch>
                            <a:fillRect/>
                          </a:stretch>
                        </pic:blipFill>
                        <pic:spPr>
                          <a:xfrm>
                            <a:off x="0" y="0"/>
                            <a:ext cx="1526817" cy="1767205"/>
                          </a:xfrm>
                          <a:prstGeom prst="rect">
                            <a:avLst/>
                          </a:prstGeom>
                          <a:ln>
                            <a:noFill/>
                          </a:ln>
                        </pic:spPr>
                      </pic:pic>
                    </a:graphicData>
                  </a:graphic>
                </wp:inline>
              </w:drawing>
            </w:r>
          </w:p>
        </w:tc>
      </w:tr>
      <w:tr w:rsidR="00DE34A4" w:rsidTr="00CF44D4">
        <w:tc>
          <w:tcPr>
            <w:tcW w:w="2500" w:type="pct"/>
          </w:tcPr>
          <w:p w:rsidR="00DE34A4" w:rsidRDefault="00DE34A4" w:rsidP="00CF44D4">
            <w:pPr>
              <w:jc w:val="center"/>
            </w:pPr>
            <w:r>
              <w:rPr>
                <w:b/>
                <w:sz w:val="21"/>
                <w:szCs w:val="21"/>
              </w:rPr>
              <w:t>（</w:t>
            </w:r>
            <w:r>
              <w:rPr>
                <w:b/>
                <w:sz w:val="21"/>
                <w:szCs w:val="21"/>
              </w:rPr>
              <w:t>a</w:t>
            </w:r>
            <w:r>
              <w:rPr>
                <w:b/>
                <w:sz w:val="21"/>
                <w:szCs w:val="21"/>
              </w:rPr>
              <w:t>）小车立面图</w:t>
            </w:r>
          </w:p>
        </w:tc>
        <w:tc>
          <w:tcPr>
            <w:tcW w:w="2500" w:type="pct"/>
          </w:tcPr>
          <w:p w:rsidR="00DE34A4" w:rsidRDefault="00DE34A4" w:rsidP="00CF44D4">
            <w:pPr>
              <w:jc w:val="center"/>
              <w:rPr>
                <w:b/>
                <w:sz w:val="21"/>
                <w:szCs w:val="21"/>
              </w:rPr>
            </w:pPr>
            <w:r>
              <w:rPr>
                <w:b/>
                <w:sz w:val="21"/>
                <w:szCs w:val="21"/>
              </w:rPr>
              <w:t>（</w:t>
            </w:r>
            <w:r>
              <w:rPr>
                <w:b/>
                <w:sz w:val="21"/>
                <w:szCs w:val="21"/>
              </w:rPr>
              <w:t>b</w:t>
            </w:r>
            <w:r>
              <w:rPr>
                <w:b/>
                <w:sz w:val="21"/>
                <w:szCs w:val="21"/>
              </w:rPr>
              <w:t>）小车侧视图</w:t>
            </w:r>
          </w:p>
        </w:tc>
      </w:tr>
      <w:tr w:rsidR="00DE34A4" w:rsidTr="00CF44D4">
        <w:tc>
          <w:tcPr>
            <w:tcW w:w="2500" w:type="pct"/>
            <w:vAlign w:val="center"/>
          </w:tcPr>
          <w:p w:rsidR="00DE34A4" w:rsidRDefault="00DE34A4" w:rsidP="00CF44D4">
            <w:pPr>
              <w:jc w:val="center"/>
            </w:pPr>
            <w:r>
              <w:rPr>
                <w:noProof/>
              </w:rPr>
              <w:drawing>
                <wp:inline distT="0" distB="0" distL="0" distR="0" wp14:anchorId="0E88C1C8" wp14:editId="2F7ED905">
                  <wp:extent cx="3063240" cy="1184910"/>
                  <wp:effectExtent l="0" t="0" r="3810" b="0"/>
                  <wp:docPr id="44" name="图片 4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图示&#10;&#10;描述已自动生成"/>
                          <pic:cNvPicPr>
                            <a:picLocks noChangeAspect="1"/>
                          </pic:cNvPicPr>
                        </pic:nvPicPr>
                        <pic:blipFill>
                          <a:blip r:embed="rId19"/>
                          <a:srcRect t="14640" b="10101"/>
                          <a:stretch>
                            <a:fillRect/>
                          </a:stretch>
                        </pic:blipFill>
                        <pic:spPr>
                          <a:xfrm>
                            <a:off x="0" y="0"/>
                            <a:ext cx="3063240" cy="1185187"/>
                          </a:xfrm>
                          <a:prstGeom prst="rect">
                            <a:avLst/>
                          </a:prstGeom>
                          <a:ln>
                            <a:noFill/>
                          </a:ln>
                        </pic:spPr>
                      </pic:pic>
                    </a:graphicData>
                  </a:graphic>
                </wp:inline>
              </w:drawing>
            </w:r>
          </w:p>
        </w:tc>
        <w:tc>
          <w:tcPr>
            <w:tcW w:w="2500" w:type="pct"/>
            <w:vAlign w:val="center"/>
          </w:tcPr>
          <w:p w:rsidR="00DE34A4" w:rsidRDefault="00DE34A4" w:rsidP="00CF44D4">
            <w:pPr>
              <w:jc w:val="right"/>
            </w:pPr>
            <w:r>
              <w:rPr>
                <w:noProof/>
              </w:rPr>
              <w:drawing>
                <wp:inline distT="0" distB="0" distL="0" distR="0" wp14:anchorId="3058539C" wp14:editId="478C4364">
                  <wp:extent cx="2872105" cy="1029335"/>
                  <wp:effectExtent l="0" t="0" r="4445" b="0"/>
                  <wp:docPr id="45" name="图片 4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图示&#10;&#10;描述已自动生成"/>
                          <pic:cNvPicPr>
                            <a:picLocks noChangeAspect="1"/>
                          </pic:cNvPicPr>
                        </pic:nvPicPr>
                        <pic:blipFill>
                          <a:blip r:embed="rId20"/>
                          <a:srcRect l="6207" t="18274" b="13132"/>
                          <a:stretch>
                            <a:fillRect/>
                          </a:stretch>
                        </pic:blipFill>
                        <pic:spPr>
                          <a:xfrm>
                            <a:off x="0" y="0"/>
                            <a:ext cx="2873686" cy="1029694"/>
                          </a:xfrm>
                          <a:prstGeom prst="rect">
                            <a:avLst/>
                          </a:prstGeom>
                          <a:ln>
                            <a:noFill/>
                          </a:ln>
                        </pic:spPr>
                      </pic:pic>
                    </a:graphicData>
                  </a:graphic>
                </wp:inline>
              </w:drawing>
            </w:r>
          </w:p>
        </w:tc>
      </w:tr>
      <w:tr w:rsidR="00DE34A4" w:rsidTr="00CF44D4">
        <w:tc>
          <w:tcPr>
            <w:tcW w:w="2500" w:type="pct"/>
            <w:vAlign w:val="center"/>
          </w:tcPr>
          <w:p w:rsidR="00DE34A4" w:rsidRDefault="00DE34A4" w:rsidP="00CF44D4">
            <w:pPr>
              <w:jc w:val="center"/>
              <w:rPr>
                <w:b/>
                <w:sz w:val="21"/>
                <w:szCs w:val="21"/>
              </w:rPr>
            </w:pPr>
            <w:r>
              <w:rPr>
                <w:b/>
                <w:sz w:val="21"/>
                <w:szCs w:val="21"/>
              </w:rPr>
              <w:t>（</w:t>
            </w:r>
            <w:r>
              <w:rPr>
                <w:b/>
                <w:sz w:val="21"/>
                <w:szCs w:val="21"/>
              </w:rPr>
              <w:t>c</w:t>
            </w:r>
            <w:r>
              <w:rPr>
                <w:b/>
                <w:sz w:val="21"/>
                <w:szCs w:val="21"/>
              </w:rPr>
              <w:t>）小车俯视图</w:t>
            </w:r>
          </w:p>
        </w:tc>
        <w:tc>
          <w:tcPr>
            <w:tcW w:w="2500" w:type="pct"/>
            <w:vAlign w:val="center"/>
          </w:tcPr>
          <w:p w:rsidR="00DE34A4" w:rsidRDefault="00DE34A4" w:rsidP="00CF44D4">
            <w:pPr>
              <w:jc w:val="center"/>
              <w:rPr>
                <w:b/>
                <w:sz w:val="21"/>
                <w:szCs w:val="21"/>
              </w:rPr>
            </w:pPr>
            <w:r>
              <w:rPr>
                <w:b/>
                <w:sz w:val="21"/>
                <w:szCs w:val="21"/>
              </w:rPr>
              <w:t>（</w:t>
            </w:r>
            <w:r>
              <w:rPr>
                <w:b/>
                <w:sz w:val="21"/>
                <w:szCs w:val="21"/>
              </w:rPr>
              <w:t>d</w:t>
            </w:r>
            <w:r>
              <w:rPr>
                <w:b/>
                <w:sz w:val="21"/>
                <w:szCs w:val="21"/>
              </w:rPr>
              <w:t>）位移挡板示意图</w:t>
            </w:r>
          </w:p>
        </w:tc>
      </w:tr>
      <w:tr w:rsidR="00DE34A4" w:rsidTr="00CF44D4">
        <w:tc>
          <w:tcPr>
            <w:tcW w:w="5000" w:type="pct"/>
            <w:gridSpan w:val="2"/>
            <w:vAlign w:val="center"/>
          </w:tcPr>
          <w:p w:rsidR="00DE34A4" w:rsidRDefault="00DE34A4" w:rsidP="00CF44D4">
            <w:pPr>
              <w:pStyle w:val="5"/>
              <w:keepNext w:val="0"/>
              <w:keepLines w:val="0"/>
              <w:spacing w:after="156"/>
              <w:rPr>
                <w:rFonts w:ascii="Times New Roman" w:hAnsi="Times New Roman"/>
              </w:rPr>
            </w:pPr>
            <w:r>
              <w:rPr>
                <w:rFonts w:ascii="Times New Roman" w:hAnsi="Times New Roman"/>
              </w:rPr>
              <w:t>加载小车详图（含位移挡板）（单位：</w:t>
            </w:r>
            <w:r>
              <w:rPr>
                <w:rFonts w:ascii="Times New Roman" w:hAnsi="Times New Roman"/>
              </w:rPr>
              <w:t>mm</w:t>
            </w:r>
            <w:r>
              <w:rPr>
                <w:rFonts w:ascii="Times New Roman" w:hAnsi="Times New Roman"/>
              </w:rPr>
              <w:t>）</w:t>
            </w:r>
          </w:p>
        </w:tc>
      </w:tr>
    </w:tbl>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光幕位移计构造</w:t>
      </w:r>
    </w:p>
    <w:p w:rsidR="00DE34A4" w:rsidRDefault="00DE34A4" w:rsidP="00DE34A4">
      <w:pPr>
        <w:spacing w:line="360" w:lineRule="auto"/>
        <w:ind w:firstLineChars="200" w:firstLine="440"/>
        <w:jc w:val="both"/>
        <w:textAlignment w:val="center"/>
        <w:rPr>
          <w:rFonts w:eastAsia="楷体"/>
        </w:rPr>
      </w:pPr>
      <w:r>
        <w:rPr>
          <w:rFonts w:eastAsia="楷体"/>
        </w:rPr>
        <w:t>采用光幕位移计和声光报警器进行挠度限值</w:t>
      </w:r>
      <w:r>
        <w:rPr>
          <w:rFonts w:eastAsia="楷体"/>
          <w:b/>
          <w:bCs/>
          <w:sz w:val="21"/>
          <w:szCs w:val="21"/>
        </w:rPr>
        <w:t>[w]</w:t>
      </w:r>
      <w:r>
        <w:rPr>
          <w:rFonts w:eastAsia="楷体"/>
        </w:rPr>
        <w:t>测量，光幕位移计通过电信号连接声光报警器，光幕位移计通电开启，其水平发射的</w:t>
      </w:r>
      <w:r>
        <w:rPr>
          <w:rFonts w:eastAsia="楷体"/>
        </w:rPr>
        <w:t>8</w:t>
      </w:r>
      <w:r>
        <w:rPr>
          <w:rFonts w:eastAsia="楷体"/>
        </w:rPr>
        <w:t>根红外线光如受到小车位移挡板遮挡，声光报警器会发出声光报警，</w:t>
      </w:r>
      <w:r>
        <w:rPr>
          <w:rFonts w:eastAsia="楷体"/>
        </w:rPr>
        <w:t>8</w:t>
      </w:r>
      <w:r>
        <w:rPr>
          <w:rFonts w:eastAsia="楷体"/>
        </w:rPr>
        <w:t>根红外线光的相邻光点间距为</w:t>
      </w:r>
      <w:r>
        <w:rPr>
          <w:rFonts w:eastAsia="楷体"/>
        </w:rPr>
        <w:t>40mm</w:t>
      </w:r>
      <w:r>
        <w:rPr>
          <w:rFonts w:eastAsia="楷体"/>
        </w:rPr>
        <w:t>，光幕位移计固定后其发射的红外线光点中心标高为</w:t>
      </w:r>
      <w:r>
        <w:rPr>
          <w:rFonts w:eastAsia="楷体"/>
        </w:rPr>
        <w:t>+137mm</w:t>
      </w:r>
      <w:r>
        <w:rPr>
          <w:rFonts w:eastAsia="楷体"/>
        </w:rPr>
        <w:t>，每</w:t>
      </w:r>
      <w:r>
        <w:rPr>
          <w:rFonts w:eastAsia="楷体"/>
        </w:rPr>
        <w:t>2</w:t>
      </w:r>
      <w:r>
        <w:rPr>
          <w:rFonts w:eastAsia="楷体"/>
        </w:rPr>
        <w:t>根红外线控制一个车道挠度限值，桥岸处车道</w:t>
      </w:r>
      <w:r>
        <w:rPr>
          <w:rFonts w:eastAsia="楷体"/>
        </w:rPr>
        <w:t>2</w:t>
      </w:r>
      <w:r>
        <w:rPr>
          <w:rFonts w:eastAsia="楷体"/>
        </w:rPr>
        <w:t>根红外线光与小车挡板的相对距离如图</w:t>
      </w:r>
      <w:r>
        <w:rPr>
          <w:rFonts w:eastAsia="楷体"/>
        </w:rPr>
        <w:t>7</w:t>
      </w:r>
      <w:r>
        <w:rPr>
          <w:rFonts w:eastAsia="楷体"/>
        </w:rPr>
        <w:t>和图</w:t>
      </w:r>
      <w:r>
        <w:rPr>
          <w:rFonts w:eastAsia="楷体"/>
        </w:rPr>
        <w:t>8</w:t>
      </w:r>
      <w:r>
        <w:rPr>
          <w:rFonts w:eastAsia="楷体"/>
        </w:rPr>
        <w:t>（</w:t>
      </w:r>
      <w:r>
        <w:rPr>
          <w:rFonts w:eastAsia="楷体"/>
        </w:rPr>
        <w:t>d</w:t>
      </w:r>
      <w:r>
        <w:rPr>
          <w:rFonts w:eastAsia="楷体"/>
        </w:rPr>
        <w:t>）所示，光幕位移计尺寸构造示意如图</w:t>
      </w:r>
      <w:r>
        <w:rPr>
          <w:rFonts w:eastAsia="楷体"/>
        </w:rPr>
        <w:t>9</w:t>
      </w:r>
      <w:r>
        <w:rPr>
          <w:rFonts w:eastAsia="楷体"/>
        </w:rPr>
        <w:t>所示：</w:t>
      </w:r>
    </w:p>
    <w:tbl>
      <w:tblPr>
        <w:tblW w:w="0" w:type="dxa"/>
        <w:tblLook w:val="04A0" w:firstRow="1" w:lastRow="0" w:firstColumn="1" w:lastColumn="0" w:noHBand="0" w:noVBand="1"/>
      </w:tblPr>
      <w:tblGrid>
        <w:gridCol w:w="5044"/>
        <w:gridCol w:w="3484"/>
      </w:tblGrid>
      <w:tr w:rsidR="00DE34A4" w:rsidTr="00CF44D4">
        <w:trPr>
          <w:trHeight w:val="3878"/>
        </w:trPr>
        <w:tc>
          <w:tcPr>
            <w:tcW w:w="5041" w:type="dxa"/>
            <w:vAlign w:val="center"/>
          </w:tcPr>
          <w:p w:rsidR="00DE34A4" w:rsidRDefault="00DE34A4" w:rsidP="00CF44D4">
            <w:pPr>
              <w:jc w:val="center"/>
              <w:rPr>
                <w:rFonts w:eastAsia="楷体"/>
              </w:rPr>
            </w:pPr>
            <w:r>
              <w:rPr>
                <w:rFonts w:eastAsia="楷体"/>
                <w:noProof/>
              </w:rPr>
              <w:lastRenderedPageBreak/>
              <w:drawing>
                <wp:inline distT="0" distB="0" distL="0" distR="0" wp14:anchorId="6B022440" wp14:editId="4C358BAF">
                  <wp:extent cx="3061335" cy="2589530"/>
                  <wp:effectExtent l="0" t="0" r="4445" b="1270"/>
                  <wp:docPr id="47" name="图片 47"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图表, 条形图&#10;&#10;描述已自动生成"/>
                          <pic:cNvPicPr>
                            <a:picLocks noChangeAspect="1"/>
                          </pic:cNvPicPr>
                        </pic:nvPicPr>
                        <pic:blipFill>
                          <a:blip r:embed="rId21"/>
                          <a:stretch>
                            <a:fillRect/>
                          </a:stretch>
                        </pic:blipFill>
                        <pic:spPr>
                          <a:xfrm>
                            <a:off x="0" y="0"/>
                            <a:ext cx="3091984" cy="2589530"/>
                          </a:xfrm>
                          <a:prstGeom prst="rect">
                            <a:avLst/>
                          </a:prstGeom>
                        </pic:spPr>
                      </pic:pic>
                    </a:graphicData>
                  </a:graphic>
                </wp:inline>
              </w:drawing>
            </w:r>
          </w:p>
        </w:tc>
        <w:tc>
          <w:tcPr>
            <w:tcW w:w="5040" w:type="dxa"/>
            <w:vAlign w:val="center"/>
          </w:tcPr>
          <w:p w:rsidR="00DE34A4" w:rsidRDefault="00DE34A4" w:rsidP="00CF44D4">
            <w:pPr>
              <w:jc w:val="center"/>
              <w:rPr>
                <w:rFonts w:eastAsia="楷体"/>
              </w:rPr>
            </w:pPr>
            <w:r>
              <w:rPr>
                <w:rFonts w:eastAsia="楷体"/>
              </w:rPr>
              <w:t>A1</w:t>
            </w:r>
            <w:r>
              <w:rPr>
                <w:rFonts w:eastAsia="楷体"/>
              </w:rPr>
              <w:t>：上端盖：</w:t>
            </w:r>
            <w:r>
              <w:rPr>
                <w:rFonts w:eastAsia="楷体"/>
              </w:rPr>
              <w:t>12mm</w:t>
            </w:r>
          </w:p>
          <w:p w:rsidR="00DE34A4" w:rsidRDefault="00DE34A4" w:rsidP="00CF44D4">
            <w:pPr>
              <w:jc w:val="center"/>
              <w:rPr>
                <w:rFonts w:eastAsia="楷体"/>
              </w:rPr>
            </w:pPr>
            <w:r>
              <w:rPr>
                <w:rFonts w:eastAsia="楷体"/>
              </w:rPr>
              <w:t>A2</w:t>
            </w:r>
            <w:r>
              <w:rPr>
                <w:rFonts w:eastAsia="楷体"/>
              </w:rPr>
              <w:t>：下端盖</w:t>
            </w:r>
            <w:r>
              <w:rPr>
                <w:rFonts w:eastAsia="楷体"/>
              </w:rPr>
              <w:t>+</w:t>
            </w:r>
            <w:r>
              <w:rPr>
                <w:rFonts w:eastAsia="楷体"/>
              </w:rPr>
              <w:t>航空头：</w:t>
            </w:r>
            <w:r>
              <w:rPr>
                <w:rFonts w:eastAsia="楷体"/>
              </w:rPr>
              <w:t>19mm</w:t>
            </w:r>
          </w:p>
          <w:p w:rsidR="00DE34A4" w:rsidRDefault="00DE34A4" w:rsidP="00CF44D4">
            <w:pPr>
              <w:jc w:val="center"/>
              <w:rPr>
                <w:rFonts w:eastAsia="楷体"/>
              </w:rPr>
            </w:pPr>
            <w:r>
              <w:rPr>
                <w:rFonts w:eastAsia="楷体"/>
              </w:rPr>
              <w:t>B1</w:t>
            </w:r>
            <w:r>
              <w:rPr>
                <w:rFonts w:eastAsia="楷体"/>
              </w:rPr>
              <w:t>：上盲区：</w:t>
            </w:r>
            <w:r>
              <w:rPr>
                <w:rFonts w:eastAsia="楷体"/>
              </w:rPr>
              <w:t>10mm</w:t>
            </w:r>
          </w:p>
          <w:p w:rsidR="00DE34A4" w:rsidRDefault="00DE34A4" w:rsidP="00CF44D4">
            <w:pPr>
              <w:jc w:val="center"/>
              <w:rPr>
                <w:rFonts w:eastAsia="楷体"/>
              </w:rPr>
            </w:pPr>
            <w:r>
              <w:rPr>
                <w:rFonts w:eastAsia="楷体"/>
              </w:rPr>
              <w:t>B2</w:t>
            </w:r>
            <w:r>
              <w:rPr>
                <w:rFonts w:eastAsia="楷体"/>
              </w:rPr>
              <w:t>：下盲区：</w:t>
            </w:r>
            <w:r>
              <w:rPr>
                <w:rFonts w:eastAsia="楷体"/>
              </w:rPr>
              <w:t>25mm</w:t>
            </w:r>
          </w:p>
          <w:p w:rsidR="00DE34A4" w:rsidRDefault="00DE34A4" w:rsidP="00CF44D4">
            <w:pPr>
              <w:jc w:val="center"/>
              <w:rPr>
                <w:rFonts w:eastAsia="楷体"/>
              </w:rPr>
            </w:pPr>
          </w:p>
          <w:p w:rsidR="00DE34A4" w:rsidRDefault="00DE34A4" w:rsidP="00CF44D4">
            <w:pPr>
              <w:jc w:val="center"/>
              <w:rPr>
                <w:rFonts w:eastAsia="楷体"/>
              </w:rPr>
            </w:pPr>
            <w:r>
              <w:rPr>
                <w:rFonts w:eastAsia="楷体"/>
              </w:rPr>
              <w:t xml:space="preserve">D: </w:t>
            </w:r>
            <w:r>
              <w:rPr>
                <w:rFonts w:eastAsia="楷体"/>
              </w:rPr>
              <w:t>光点间距：</w:t>
            </w:r>
            <w:r>
              <w:rPr>
                <w:rFonts w:eastAsia="楷体"/>
              </w:rPr>
              <w:t>40mm</w:t>
            </w:r>
          </w:p>
          <w:p w:rsidR="00DE34A4" w:rsidRDefault="00DE34A4" w:rsidP="00CF44D4">
            <w:pPr>
              <w:jc w:val="center"/>
              <w:rPr>
                <w:rFonts w:eastAsia="楷体"/>
              </w:rPr>
            </w:pPr>
            <w:r>
              <w:rPr>
                <w:rFonts w:eastAsia="楷体"/>
              </w:rPr>
              <w:t>H</w:t>
            </w:r>
            <w:r>
              <w:rPr>
                <w:rFonts w:eastAsia="楷体"/>
              </w:rPr>
              <w:t>：光栅保护高度：</w:t>
            </w:r>
            <w:r>
              <w:rPr>
                <w:rFonts w:eastAsia="楷体"/>
              </w:rPr>
              <w:t>280mm</w:t>
            </w:r>
          </w:p>
          <w:p w:rsidR="00DE34A4" w:rsidRDefault="00DE34A4" w:rsidP="00CF44D4">
            <w:pPr>
              <w:jc w:val="center"/>
              <w:rPr>
                <w:rFonts w:eastAsia="楷体"/>
              </w:rPr>
            </w:pPr>
            <w:r>
              <w:rPr>
                <w:rFonts w:eastAsia="楷体"/>
              </w:rPr>
              <w:t>L</w:t>
            </w:r>
            <w:r>
              <w:rPr>
                <w:rFonts w:eastAsia="楷体"/>
              </w:rPr>
              <w:t>：光幕总长度：</w:t>
            </w:r>
            <w:r>
              <w:rPr>
                <w:rFonts w:eastAsia="楷体"/>
              </w:rPr>
              <w:t>359mm</w:t>
            </w:r>
          </w:p>
        </w:tc>
      </w:tr>
      <w:tr w:rsidR="00DE34A4" w:rsidTr="00CF44D4">
        <w:tc>
          <w:tcPr>
            <w:tcW w:w="10081" w:type="dxa"/>
            <w:gridSpan w:val="2"/>
          </w:tcPr>
          <w:p w:rsidR="00DE34A4" w:rsidRDefault="00DE34A4" w:rsidP="00CF44D4">
            <w:pPr>
              <w:pStyle w:val="5"/>
              <w:keepNext w:val="0"/>
              <w:keepLines w:val="0"/>
              <w:spacing w:after="156"/>
              <w:rPr>
                <w:rFonts w:ascii="Times New Roman" w:hAnsi="Times New Roman"/>
              </w:rPr>
            </w:pPr>
            <w:bookmarkStart w:id="13" w:name="_Ref23075868"/>
            <w:r>
              <w:rPr>
                <w:rFonts w:ascii="Times New Roman" w:hAnsi="Times New Roman"/>
              </w:rPr>
              <w:t>光幕位移计示意图</w:t>
            </w:r>
            <w:bookmarkEnd w:id="13"/>
          </w:p>
        </w:tc>
      </w:tr>
    </w:tbl>
    <w:p w:rsidR="00DE34A4" w:rsidRDefault="00DE34A4" w:rsidP="00DE34A4">
      <w:pPr>
        <w:pStyle w:val="1"/>
        <w:numPr>
          <w:ilvl w:val="0"/>
          <w:numId w:val="3"/>
        </w:numPr>
        <w:spacing w:before="156" w:after="156" w:line="240" w:lineRule="auto"/>
        <w:ind w:left="0" w:firstLine="0"/>
        <w:rPr>
          <w:rFonts w:eastAsia="宋体"/>
          <w:sz w:val="32"/>
          <w:szCs w:val="32"/>
        </w:rPr>
      </w:pPr>
      <w:r>
        <w:rPr>
          <w:rFonts w:eastAsia="宋体"/>
          <w:sz w:val="32"/>
          <w:szCs w:val="32"/>
        </w:rPr>
        <w:t>待定参数的确定</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bookmarkStart w:id="14" w:name="_Ref35694819"/>
      <w:r>
        <w:rPr>
          <w:rFonts w:ascii="Times New Roman" w:hAnsi="Times New Roman"/>
          <w:sz w:val="28"/>
          <w:szCs w:val="28"/>
        </w:rPr>
        <w:t>待定参数的确定方式</w:t>
      </w:r>
      <w:bookmarkEnd w:id="14"/>
    </w:p>
    <w:p w:rsidR="00DE34A4" w:rsidRDefault="00DE34A4" w:rsidP="00DE34A4">
      <w:pPr>
        <w:spacing w:line="360" w:lineRule="auto"/>
        <w:ind w:firstLine="482"/>
        <w:rPr>
          <w:rFonts w:eastAsia="楷体"/>
        </w:rPr>
      </w:pPr>
      <w:r>
        <w:rPr>
          <w:rFonts w:eastAsia="楷体"/>
          <w:b/>
          <w:bCs/>
        </w:rPr>
        <w:t>表</w:t>
      </w:r>
      <w:r>
        <w:rPr>
          <w:rFonts w:eastAsia="楷体"/>
          <w:b/>
          <w:bCs/>
        </w:rPr>
        <w:t>1</w:t>
      </w:r>
      <w:r>
        <w:rPr>
          <w:rFonts w:eastAsia="楷体"/>
          <w:b/>
          <w:bCs/>
        </w:rPr>
        <w:t>、表</w:t>
      </w:r>
      <w:r>
        <w:rPr>
          <w:rFonts w:eastAsia="楷体"/>
          <w:b/>
          <w:bCs/>
        </w:rPr>
        <w:t>2</w:t>
      </w:r>
      <w:r>
        <w:rPr>
          <w:rFonts w:eastAsia="楷体"/>
          <w:b/>
          <w:bCs/>
        </w:rPr>
        <w:t>中的待定参数</w:t>
      </w:r>
      <w:r>
        <w:rPr>
          <w:rFonts w:eastAsia="楷体"/>
        </w:rPr>
        <w:t>确定时间为加载测试之前（模型均完成预安装和尺寸检查后）。采用在比赛现场随机抽签的形式，确定一组表</w:t>
      </w:r>
      <w:r>
        <w:rPr>
          <w:rFonts w:eastAsia="楷体"/>
        </w:rPr>
        <w:t>1</w:t>
      </w:r>
      <w:r>
        <w:rPr>
          <w:rFonts w:eastAsia="楷体"/>
        </w:rPr>
        <w:t>和</w:t>
      </w:r>
      <w:r>
        <w:rPr>
          <w:rFonts w:eastAsia="楷体"/>
        </w:rPr>
        <w:fldChar w:fldCharType="begin"/>
      </w:r>
      <w:r>
        <w:rPr>
          <w:rFonts w:eastAsia="楷体"/>
        </w:rPr>
        <w:instrText xml:space="preserve"> REF _Ref28521526 \r \h  \* MERGEFORMAT </w:instrText>
      </w:r>
      <w:r>
        <w:rPr>
          <w:rFonts w:eastAsia="楷体"/>
        </w:rPr>
      </w:r>
      <w:r>
        <w:rPr>
          <w:rFonts w:eastAsia="楷体"/>
        </w:rPr>
        <w:fldChar w:fldCharType="separate"/>
      </w:r>
      <w:r>
        <w:rPr>
          <w:rFonts w:eastAsia="楷体"/>
        </w:rPr>
        <w:t>表</w:t>
      </w:r>
      <w:r>
        <w:rPr>
          <w:rFonts w:eastAsia="楷体"/>
        </w:rPr>
        <w:t>2</w:t>
      </w:r>
      <w:r>
        <w:rPr>
          <w:rFonts w:eastAsia="楷体"/>
        </w:rPr>
        <w:fldChar w:fldCharType="end"/>
      </w:r>
      <w:r>
        <w:rPr>
          <w:rFonts w:eastAsia="楷体"/>
        </w:rPr>
        <w:t>所列</w:t>
      </w:r>
      <w:r>
        <w:rPr>
          <w:rFonts w:eastAsia="楷体"/>
          <w:b/>
          <w:bCs/>
        </w:rPr>
        <w:t>待定参数</w:t>
      </w:r>
      <w:r>
        <w:rPr>
          <w:rFonts w:eastAsia="楷体"/>
        </w:rPr>
        <w:t>。</w:t>
      </w:r>
      <w:r>
        <w:rPr>
          <w:rFonts w:eastAsia="楷体"/>
          <w:b/>
          <w:bCs/>
        </w:rPr>
        <w:t>这组待定参数将作为所有参赛队的共同参数</w:t>
      </w:r>
      <w:r>
        <w:rPr>
          <w:rFonts w:eastAsia="楷体"/>
        </w:rPr>
        <w:t>。抽签过程全程由组委会或部分参赛队员进行监督。</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待定参数汇总</w:t>
      </w:r>
    </w:p>
    <w:p w:rsidR="00DE34A4" w:rsidRDefault="00DE34A4" w:rsidP="00DE34A4">
      <w:r>
        <w:t>本题目中所有</w:t>
      </w:r>
      <w:r>
        <w:rPr>
          <w:b/>
        </w:rPr>
        <w:t>待定参数</w:t>
      </w:r>
      <w:r>
        <w:t>汇总详见</w:t>
      </w:r>
      <w:r>
        <w:fldChar w:fldCharType="begin"/>
      </w:r>
      <w:r>
        <w:instrText xml:space="preserve"> REF _Ref28521526 \r \h  \* MERGEFORMAT </w:instrText>
      </w:r>
      <w:r>
        <w:fldChar w:fldCharType="separate"/>
      </w:r>
      <w:r>
        <w:t>表</w:t>
      </w:r>
      <w:r>
        <w:t>1</w:t>
      </w:r>
      <w:r>
        <w:fldChar w:fldCharType="end"/>
      </w:r>
      <w:r>
        <w:t>和表</w:t>
      </w:r>
      <w:r>
        <w:t>2</w:t>
      </w:r>
      <w:r>
        <w:t>。</w:t>
      </w:r>
    </w:p>
    <w:p w:rsidR="00DE34A4" w:rsidRDefault="00DE34A4" w:rsidP="00DE34A4">
      <w:pPr>
        <w:pStyle w:val="a7"/>
        <w:widowControl w:val="0"/>
        <w:numPr>
          <w:ilvl w:val="0"/>
          <w:numId w:val="7"/>
        </w:numPr>
        <w:spacing w:line="360" w:lineRule="auto"/>
        <w:ind w:left="0" w:firstLineChars="0" w:firstLine="0"/>
        <w:jc w:val="center"/>
        <w:rPr>
          <w:b/>
          <w:bCs/>
          <w:sz w:val="21"/>
          <w:szCs w:val="21"/>
        </w:rPr>
      </w:pPr>
      <w:bookmarkStart w:id="15" w:name="_Ref28521526"/>
      <w:r>
        <w:rPr>
          <w:b/>
          <w:bCs/>
          <w:sz w:val="21"/>
          <w:szCs w:val="21"/>
        </w:rPr>
        <w:t>加载现场统一抽签确定的独立待定参数及取值范围</w:t>
      </w:r>
      <w:bookmarkEnd w:id="15"/>
    </w:p>
    <w:tbl>
      <w:tblPr>
        <w:tblW w:w="5000" w:type="pct"/>
        <w:jc w:val="center"/>
        <w:tblLook w:val="04A0" w:firstRow="1" w:lastRow="0" w:firstColumn="1" w:lastColumn="0" w:noHBand="0" w:noVBand="1"/>
      </w:tblPr>
      <w:tblGrid>
        <w:gridCol w:w="1839"/>
        <w:gridCol w:w="646"/>
        <w:gridCol w:w="3868"/>
        <w:gridCol w:w="2175"/>
      </w:tblGrid>
      <w:tr w:rsidR="00DE34A4" w:rsidTr="00CF44D4">
        <w:trPr>
          <w:trHeight w:val="312"/>
          <w:jc w:val="center"/>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b/>
                <w:bCs/>
                <w:sz w:val="21"/>
                <w:szCs w:val="21"/>
              </w:rPr>
            </w:pPr>
            <w:r>
              <w:rPr>
                <w:b/>
                <w:bCs/>
                <w:sz w:val="21"/>
                <w:szCs w:val="21"/>
              </w:rPr>
              <w:t>参数名称</w:t>
            </w:r>
          </w:p>
        </w:tc>
        <w:tc>
          <w:tcPr>
            <w:tcW w:w="379" w:type="pct"/>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b/>
                <w:bCs/>
                <w:sz w:val="21"/>
                <w:szCs w:val="21"/>
              </w:rPr>
            </w:pPr>
            <w:r>
              <w:rPr>
                <w:b/>
                <w:bCs/>
                <w:sz w:val="21"/>
                <w:szCs w:val="21"/>
              </w:rPr>
              <w:t>代号</w:t>
            </w:r>
          </w:p>
        </w:tc>
        <w:tc>
          <w:tcPr>
            <w:tcW w:w="2268" w:type="pct"/>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b/>
                <w:bCs/>
                <w:sz w:val="21"/>
                <w:szCs w:val="21"/>
              </w:rPr>
            </w:pPr>
            <w:r>
              <w:rPr>
                <w:b/>
                <w:bCs/>
                <w:sz w:val="21"/>
                <w:szCs w:val="21"/>
              </w:rPr>
              <w:t>取值范围</w:t>
            </w:r>
          </w:p>
        </w:tc>
        <w:tc>
          <w:tcPr>
            <w:tcW w:w="1275" w:type="pct"/>
            <w:tcBorders>
              <w:top w:val="single" w:sz="4" w:space="0" w:color="auto"/>
              <w:left w:val="nil"/>
              <w:bottom w:val="single" w:sz="4" w:space="0" w:color="auto"/>
              <w:right w:val="single" w:sz="4" w:space="0" w:color="auto"/>
            </w:tcBorders>
            <w:vAlign w:val="center"/>
          </w:tcPr>
          <w:p w:rsidR="00DE34A4" w:rsidRDefault="00DE34A4" w:rsidP="00CF44D4">
            <w:pPr>
              <w:jc w:val="center"/>
              <w:rPr>
                <w:b/>
                <w:bCs/>
                <w:sz w:val="21"/>
                <w:szCs w:val="21"/>
              </w:rPr>
            </w:pPr>
            <w:r>
              <w:rPr>
                <w:b/>
                <w:bCs/>
                <w:sz w:val="21"/>
                <w:szCs w:val="21"/>
              </w:rPr>
              <w:t>附注</w:t>
            </w:r>
          </w:p>
        </w:tc>
      </w:tr>
      <w:tr w:rsidR="00DE34A4" w:rsidTr="00CF44D4">
        <w:trPr>
          <w:trHeight w:val="312"/>
          <w:jc w:val="center"/>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第一级单辆小车载重</w:t>
            </w:r>
          </w:p>
        </w:tc>
        <w:tc>
          <w:tcPr>
            <w:tcW w:w="379" w:type="pct"/>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Z</w:t>
            </w:r>
            <w:r>
              <w:rPr>
                <w:sz w:val="21"/>
                <w:szCs w:val="21"/>
                <w:vertAlign w:val="subscript"/>
              </w:rPr>
              <w:t>1</w:t>
            </w:r>
          </w:p>
        </w:tc>
        <w:tc>
          <w:tcPr>
            <w:tcW w:w="2268" w:type="pct"/>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20N</w:t>
            </w:r>
            <w:r>
              <w:rPr>
                <w:sz w:val="21"/>
                <w:szCs w:val="21"/>
              </w:rPr>
              <w:t>、</w:t>
            </w:r>
            <w:r>
              <w:rPr>
                <w:sz w:val="21"/>
                <w:szCs w:val="21"/>
              </w:rPr>
              <w:t>30N</w:t>
            </w:r>
            <w:r>
              <w:rPr>
                <w:sz w:val="21"/>
                <w:szCs w:val="21"/>
              </w:rPr>
              <w:t>、</w:t>
            </w:r>
            <w:r>
              <w:rPr>
                <w:sz w:val="21"/>
                <w:szCs w:val="21"/>
              </w:rPr>
              <w:t>40N</w:t>
            </w:r>
            <w:r>
              <w:rPr>
                <w:sz w:val="21"/>
                <w:szCs w:val="21"/>
              </w:rPr>
              <w:t>、</w:t>
            </w:r>
            <w:r>
              <w:rPr>
                <w:sz w:val="21"/>
                <w:szCs w:val="21"/>
              </w:rPr>
              <w:t>50N</w:t>
            </w:r>
          </w:p>
        </w:tc>
        <w:tc>
          <w:tcPr>
            <w:tcW w:w="1275" w:type="pct"/>
            <w:tcBorders>
              <w:top w:val="single" w:sz="4" w:space="0" w:color="auto"/>
              <w:left w:val="nil"/>
              <w:bottom w:val="single" w:sz="4" w:space="0" w:color="auto"/>
              <w:right w:val="single" w:sz="4" w:space="0" w:color="auto"/>
            </w:tcBorders>
            <w:vAlign w:val="center"/>
          </w:tcPr>
          <w:p w:rsidR="00DE34A4" w:rsidRDefault="00DE34A4" w:rsidP="00CF44D4">
            <w:pPr>
              <w:jc w:val="center"/>
              <w:rPr>
                <w:sz w:val="21"/>
                <w:szCs w:val="21"/>
              </w:rPr>
            </w:pPr>
            <w:r>
              <w:rPr>
                <w:sz w:val="21"/>
                <w:szCs w:val="21"/>
              </w:rPr>
              <w:t>10N</w:t>
            </w:r>
            <w:r>
              <w:rPr>
                <w:sz w:val="21"/>
                <w:szCs w:val="21"/>
              </w:rPr>
              <w:t>阶梯取值</w:t>
            </w:r>
          </w:p>
        </w:tc>
      </w:tr>
      <w:tr w:rsidR="00DE34A4" w:rsidTr="00CF44D4">
        <w:trPr>
          <w:trHeight w:val="312"/>
          <w:jc w:val="center"/>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第二级和第三级单辆小车载重</w:t>
            </w:r>
          </w:p>
        </w:tc>
        <w:tc>
          <w:tcPr>
            <w:tcW w:w="379" w:type="pct"/>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Z</w:t>
            </w:r>
            <w:r>
              <w:rPr>
                <w:sz w:val="21"/>
                <w:szCs w:val="21"/>
                <w:vertAlign w:val="subscript"/>
              </w:rPr>
              <w:t>2</w:t>
            </w:r>
            <w:r>
              <w:rPr>
                <w:sz w:val="21"/>
                <w:szCs w:val="21"/>
              </w:rPr>
              <w:t>、</w:t>
            </w:r>
            <w:r>
              <w:rPr>
                <w:sz w:val="21"/>
                <w:szCs w:val="21"/>
              </w:rPr>
              <w:t>Z</w:t>
            </w:r>
            <w:r>
              <w:rPr>
                <w:sz w:val="21"/>
                <w:szCs w:val="21"/>
                <w:vertAlign w:val="subscript"/>
              </w:rPr>
              <w:t>3</w:t>
            </w:r>
          </w:p>
        </w:tc>
        <w:tc>
          <w:tcPr>
            <w:tcW w:w="2268" w:type="pct"/>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30N</w:t>
            </w:r>
            <w:r>
              <w:rPr>
                <w:sz w:val="21"/>
                <w:szCs w:val="21"/>
              </w:rPr>
              <w:t>、</w:t>
            </w:r>
            <w:r>
              <w:rPr>
                <w:sz w:val="21"/>
                <w:szCs w:val="21"/>
              </w:rPr>
              <w:t>40N</w:t>
            </w:r>
            <w:r>
              <w:rPr>
                <w:sz w:val="21"/>
                <w:szCs w:val="21"/>
              </w:rPr>
              <w:t>、</w:t>
            </w:r>
            <w:r>
              <w:rPr>
                <w:sz w:val="21"/>
                <w:szCs w:val="21"/>
              </w:rPr>
              <w:t>50N</w:t>
            </w:r>
            <w:r>
              <w:rPr>
                <w:sz w:val="21"/>
                <w:szCs w:val="21"/>
              </w:rPr>
              <w:t>、</w:t>
            </w:r>
            <w:r>
              <w:rPr>
                <w:sz w:val="21"/>
                <w:szCs w:val="21"/>
              </w:rPr>
              <w:t>60N</w:t>
            </w:r>
          </w:p>
        </w:tc>
        <w:tc>
          <w:tcPr>
            <w:tcW w:w="1275" w:type="pct"/>
            <w:tcBorders>
              <w:top w:val="single" w:sz="4" w:space="0" w:color="auto"/>
              <w:left w:val="nil"/>
              <w:bottom w:val="single" w:sz="4" w:space="0" w:color="auto"/>
              <w:right w:val="single" w:sz="4" w:space="0" w:color="auto"/>
            </w:tcBorders>
            <w:vAlign w:val="center"/>
          </w:tcPr>
          <w:p w:rsidR="00DE34A4" w:rsidRDefault="00DE34A4" w:rsidP="00CF44D4">
            <w:pPr>
              <w:jc w:val="center"/>
              <w:rPr>
                <w:sz w:val="21"/>
                <w:szCs w:val="21"/>
              </w:rPr>
            </w:pPr>
            <w:r>
              <w:rPr>
                <w:sz w:val="21"/>
                <w:szCs w:val="21"/>
              </w:rPr>
              <w:t>10N</w:t>
            </w:r>
            <w:r>
              <w:rPr>
                <w:sz w:val="21"/>
                <w:szCs w:val="21"/>
              </w:rPr>
              <w:t>阶梯取值，且大于第一级小车载重</w:t>
            </w:r>
          </w:p>
        </w:tc>
      </w:tr>
      <w:tr w:rsidR="00DE34A4" w:rsidTr="00CF44D4">
        <w:trPr>
          <w:trHeight w:val="384"/>
          <w:jc w:val="center"/>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撞击高度</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H</w:t>
            </w:r>
          </w:p>
        </w:tc>
        <w:tc>
          <w:tcPr>
            <w:tcW w:w="2268" w:type="pct"/>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400mm</w:t>
            </w:r>
            <w:r>
              <w:rPr>
                <w:sz w:val="21"/>
                <w:szCs w:val="21"/>
              </w:rPr>
              <w:t>、</w:t>
            </w:r>
            <w:r>
              <w:rPr>
                <w:sz w:val="21"/>
                <w:szCs w:val="21"/>
              </w:rPr>
              <w:t>500mm</w:t>
            </w:r>
            <w:r>
              <w:rPr>
                <w:sz w:val="21"/>
                <w:szCs w:val="21"/>
              </w:rPr>
              <w:t>、</w:t>
            </w:r>
            <w:r>
              <w:rPr>
                <w:sz w:val="21"/>
                <w:szCs w:val="21"/>
              </w:rPr>
              <w:t>600mm</w:t>
            </w:r>
          </w:p>
        </w:tc>
        <w:tc>
          <w:tcPr>
            <w:tcW w:w="1275" w:type="pct"/>
            <w:tcBorders>
              <w:top w:val="single" w:sz="4" w:space="0" w:color="auto"/>
              <w:left w:val="single" w:sz="4" w:space="0" w:color="auto"/>
              <w:bottom w:val="single" w:sz="4" w:space="0" w:color="auto"/>
              <w:right w:val="single" w:sz="4" w:space="0" w:color="auto"/>
            </w:tcBorders>
            <w:vAlign w:val="center"/>
          </w:tcPr>
          <w:p w:rsidR="00DE34A4" w:rsidRDefault="00DE34A4" w:rsidP="00CF44D4">
            <w:pPr>
              <w:jc w:val="center"/>
              <w:rPr>
                <w:sz w:val="21"/>
                <w:szCs w:val="21"/>
              </w:rPr>
            </w:pPr>
            <w:r>
              <w:rPr>
                <w:sz w:val="21"/>
                <w:szCs w:val="21"/>
              </w:rPr>
              <w:t>100mm</w:t>
            </w:r>
            <w:r>
              <w:rPr>
                <w:sz w:val="21"/>
                <w:szCs w:val="21"/>
              </w:rPr>
              <w:t>阶梯取值</w:t>
            </w:r>
          </w:p>
        </w:tc>
      </w:tr>
    </w:tbl>
    <w:p w:rsidR="00DE34A4" w:rsidRDefault="00DE34A4" w:rsidP="00DE34A4">
      <w:pPr>
        <w:pStyle w:val="a7"/>
        <w:widowControl w:val="0"/>
        <w:numPr>
          <w:ilvl w:val="0"/>
          <w:numId w:val="7"/>
        </w:numPr>
        <w:spacing w:beforeLines="50" w:before="156" w:line="360" w:lineRule="auto"/>
        <w:ind w:left="0" w:firstLineChars="0" w:firstLine="0"/>
        <w:jc w:val="center"/>
        <w:rPr>
          <w:b/>
          <w:bCs/>
          <w:sz w:val="21"/>
          <w:szCs w:val="21"/>
        </w:rPr>
      </w:pPr>
      <w:r>
        <w:rPr>
          <w:b/>
          <w:bCs/>
          <w:sz w:val="21"/>
          <w:szCs w:val="21"/>
        </w:rPr>
        <w:t>加载现场统一抽签确定的独立待定参数及取值范围</w:t>
      </w:r>
    </w:p>
    <w:tbl>
      <w:tblPr>
        <w:tblW w:w="0" w:type="auto"/>
        <w:jc w:val="center"/>
        <w:tblLook w:val="04A0" w:firstRow="1" w:lastRow="0" w:firstColumn="1" w:lastColumn="0" w:noHBand="0" w:noVBand="1"/>
      </w:tblPr>
      <w:tblGrid>
        <w:gridCol w:w="1522"/>
        <w:gridCol w:w="538"/>
        <w:gridCol w:w="4482"/>
        <w:gridCol w:w="1986"/>
      </w:tblGrid>
      <w:tr w:rsidR="00DE34A4" w:rsidTr="00CF44D4">
        <w:trPr>
          <w:trHeight w:val="312"/>
          <w:jc w:val="center"/>
        </w:trPr>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b/>
                <w:bCs/>
                <w:sz w:val="21"/>
                <w:szCs w:val="21"/>
              </w:rPr>
            </w:pPr>
            <w:r>
              <w:rPr>
                <w:b/>
                <w:bCs/>
                <w:sz w:val="21"/>
                <w:szCs w:val="21"/>
              </w:rPr>
              <w:t>参数名称</w:t>
            </w:r>
          </w:p>
        </w:tc>
        <w:tc>
          <w:tcPr>
            <w:tcW w:w="538" w:type="dxa"/>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b/>
                <w:bCs/>
                <w:sz w:val="21"/>
                <w:szCs w:val="21"/>
              </w:rPr>
            </w:pPr>
            <w:r>
              <w:rPr>
                <w:b/>
                <w:bCs/>
                <w:sz w:val="21"/>
                <w:szCs w:val="21"/>
              </w:rPr>
              <w:t>代号</w:t>
            </w:r>
          </w:p>
        </w:tc>
        <w:tc>
          <w:tcPr>
            <w:tcW w:w="4482" w:type="dxa"/>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b/>
                <w:bCs/>
                <w:sz w:val="21"/>
                <w:szCs w:val="21"/>
              </w:rPr>
            </w:pPr>
            <w:r>
              <w:rPr>
                <w:b/>
                <w:bCs/>
                <w:sz w:val="21"/>
                <w:szCs w:val="21"/>
              </w:rPr>
              <w:t>取值范围</w:t>
            </w:r>
          </w:p>
        </w:tc>
        <w:tc>
          <w:tcPr>
            <w:tcW w:w="0" w:type="auto"/>
            <w:tcBorders>
              <w:top w:val="single" w:sz="4" w:space="0" w:color="auto"/>
              <w:left w:val="nil"/>
              <w:bottom w:val="single" w:sz="4" w:space="0" w:color="auto"/>
              <w:right w:val="single" w:sz="4" w:space="0" w:color="auto"/>
            </w:tcBorders>
            <w:vAlign w:val="center"/>
          </w:tcPr>
          <w:p w:rsidR="00DE34A4" w:rsidRDefault="00DE34A4" w:rsidP="00CF44D4">
            <w:pPr>
              <w:jc w:val="center"/>
              <w:rPr>
                <w:b/>
                <w:bCs/>
                <w:sz w:val="21"/>
                <w:szCs w:val="21"/>
              </w:rPr>
            </w:pPr>
            <w:r>
              <w:rPr>
                <w:b/>
                <w:bCs/>
                <w:sz w:val="21"/>
                <w:szCs w:val="21"/>
              </w:rPr>
              <w:t>附注</w:t>
            </w:r>
          </w:p>
        </w:tc>
      </w:tr>
      <w:tr w:rsidR="00DE34A4" w:rsidTr="00CF44D4">
        <w:trPr>
          <w:trHeight w:val="312"/>
          <w:jc w:val="center"/>
        </w:trPr>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第一级加载车道</w:t>
            </w:r>
          </w:p>
        </w:tc>
        <w:tc>
          <w:tcPr>
            <w:tcW w:w="538" w:type="dxa"/>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N1</w:t>
            </w:r>
          </w:p>
        </w:tc>
        <w:tc>
          <w:tcPr>
            <w:tcW w:w="4482" w:type="dxa"/>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1</w:t>
            </w:r>
            <w:r>
              <w:rPr>
                <w:sz w:val="21"/>
                <w:szCs w:val="21"/>
              </w:rPr>
              <w:t>、</w:t>
            </w:r>
            <w:r>
              <w:rPr>
                <w:sz w:val="21"/>
                <w:szCs w:val="21"/>
              </w:rPr>
              <w:t>2</w:t>
            </w:r>
            <w:r>
              <w:rPr>
                <w:sz w:val="21"/>
                <w:szCs w:val="21"/>
              </w:rPr>
              <w:t>、</w:t>
            </w:r>
            <w:r>
              <w:rPr>
                <w:sz w:val="21"/>
                <w:szCs w:val="21"/>
              </w:rPr>
              <w:t>3</w:t>
            </w:r>
            <w:r>
              <w:rPr>
                <w:sz w:val="21"/>
                <w:szCs w:val="21"/>
              </w:rPr>
              <w:t>、</w:t>
            </w:r>
            <w:r>
              <w:rPr>
                <w:sz w:val="21"/>
                <w:szCs w:val="21"/>
              </w:rPr>
              <w:t>4</w:t>
            </w:r>
          </w:p>
        </w:tc>
        <w:tc>
          <w:tcPr>
            <w:tcW w:w="0" w:type="auto"/>
            <w:tcBorders>
              <w:top w:val="single" w:sz="4" w:space="0" w:color="auto"/>
              <w:left w:val="nil"/>
              <w:bottom w:val="single" w:sz="4" w:space="0" w:color="auto"/>
              <w:right w:val="single" w:sz="4" w:space="0" w:color="auto"/>
            </w:tcBorders>
            <w:vAlign w:val="center"/>
          </w:tcPr>
          <w:p w:rsidR="00DE34A4" w:rsidRDefault="00DE34A4" w:rsidP="00CF44D4">
            <w:pPr>
              <w:jc w:val="center"/>
              <w:rPr>
                <w:sz w:val="21"/>
                <w:szCs w:val="21"/>
              </w:rPr>
            </w:pPr>
            <w:r>
              <w:rPr>
                <w:sz w:val="21"/>
                <w:szCs w:val="21"/>
              </w:rPr>
              <w:t>从四个车道中抽取</w:t>
            </w:r>
            <w:r>
              <w:rPr>
                <w:sz w:val="21"/>
                <w:szCs w:val="21"/>
              </w:rPr>
              <w:t>1</w:t>
            </w:r>
            <w:r>
              <w:rPr>
                <w:sz w:val="21"/>
                <w:szCs w:val="21"/>
              </w:rPr>
              <w:t>个车道</w:t>
            </w:r>
          </w:p>
        </w:tc>
      </w:tr>
      <w:tr w:rsidR="00DE34A4" w:rsidTr="00CF44D4">
        <w:trPr>
          <w:trHeight w:val="312"/>
          <w:jc w:val="center"/>
        </w:trPr>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第二级和第三</w:t>
            </w:r>
            <w:r>
              <w:rPr>
                <w:sz w:val="21"/>
                <w:szCs w:val="21"/>
              </w:rPr>
              <w:lastRenderedPageBreak/>
              <w:t>级增加车道</w:t>
            </w:r>
          </w:p>
        </w:tc>
        <w:tc>
          <w:tcPr>
            <w:tcW w:w="538" w:type="dxa"/>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lastRenderedPageBreak/>
              <w:t>N2</w:t>
            </w:r>
          </w:p>
        </w:tc>
        <w:tc>
          <w:tcPr>
            <w:tcW w:w="4482" w:type="dxa"/>
            <w:tcBorders>
              <w:top w:val="single" w:sz="4" w:space="0" w:color="auto"/>
              <w:left w:val="nil"/>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1</w:t>
            </w:r>
            <w:r>
              <w:rPr>
                <w:sz w:val="21"/>
                <w:szCs w:val="21"/>
              </w:rPr>
              <w:t>、</w:t>
            </w:r>
            <w:r>
              <w:rPr>
                <w:sz w:val="21"/>
                <w:szCs w:val="21"/>
              </w:rPr>
              <w:t>2</w:t>
            </w:r>
            <w:r>
              <w:rPr>
                <w:sz w:val="21"/>
                <w:szCs w:val="21"/>
              </w:rPr>
              <w:t>、</w:t>
            </w:r>
            <w:r>
              <w:rPr>
                <w:sz w:val="21"/>
                <w:szCs w:val="21"/>
              </w:rPr>
              <w:t>3</w:t>
            </w:r>
            <w:r>
              <w:rPr>
                <w:sz w:val="21"/>
                <w:szCs w:val="21"/>
              </w:rPr>
              <w:t>、</w:t>
            </w:r>
            <w:r>
              <w:rPr>
                <w:sz w:val="21"/>
                <w:szCs w:val="21"/>
              </w:rPr>
              <w:t>4</w:t>
            </w:r>
          </w:p>
        </w:tc>
        <w:tc>
          <w:tcPr>
            <w:tcW w:w="0" w:type="auto"/>
            <w:tcBorders>
              <w:top w:val="single" w:sz="4" w:space="0" w:color="auto"/>
              <w:left w:val="nil"/>
              <w:bottom w:val="single" w:sz="4" w:space="0" w:color="auto"/>
              <w:right w:val="single" w:sz="4" w:space="0" w:color="auto"/>
            </w:tcBorders>
            <w:vAlign w:val="center"/>
          </w:tcPr>
          <w:p w:rsidR="00DE34A4" w:rsidRDefault="00DE34A4" w:rsidP="00CF44D4">
            <w:pPr>
              <w:jc w:val="center"/>
              <w:rPr>
                <w:sz w:val="21"/>
                <w:szCs w:val="21"/>
              </w:rPr>
            </w:pPr>
            <w:r>
              <w:rPr>
                <w:sz w:val="21"/>
                <w:szCs w:val="21"/>
              </w:rPr>
              <w:t>保留第一级加载车</w:t>
            </w:r>
            <w:r>
              <w:rPr>
                <w:sz w:val="21"/>
                <w:szCs w:val="21"/>
              </w:rPr>
              <w:lastRenderedPageBreak/>
              <w:t>道，从其余三车道中抽取</w:t>
            </w:r>
            <w:r>
              <w:rPr>
                <w:sz w:val="21"/>
                <w:szCs w:val="21"/>
              </w:rPr>
              <w:t>1</w:t>
            </w:r>
            <w:r>
              <w:rPr>
                <w:sz w:val="21"/>
                <w:szCs w:val="21"/>
              </w:rPr>
              <w:t>个车道</w:t>
            </w:r>
          </w:p>
        </w:tc>
      </w:tr>
      <w:tr w:rsidR="00DE34A4" w:rsidTr="00CF44D4">
        <w:trPr>
          <w:trHeight w:val="384"/>
          <w:jc w:val="center"/>
        </w:trPr>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lastRenderedPageBreak/>
              <w:t>小球水平撞击角度</w:t>
            </w: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α</w:t>
            </w:r>
          </w:p>
        </w:tc>
        <w:tc>
          <w:tcPr>
            <w:tcW w:w="4482" w:type="dxa"/>
            <w:tcBorders>
              <w:top w:val="single" w:sz="4" w:space="0" w:color="auto"/>
              <w:left w:val="single" w:sz="4" w:space="0" w:color="auto"/>
              <w:bottom w:val="single" w:sz="4" w:space="0" w:color="auto"/>
              <w:right w:val="single" w:sz="4" w:space="0" w:color="auto"/>
            </w:tcBorders>
            <w:shd w:val="clear" w:color="auto" w:fill="auto"/>
            <w:vAlign w:val="center"/>
          </w:tcPr>
          <w:p w:rsidR="00DE34A4" w:rsidRDefault="00DE34A4" w:rsidP="00CF44D4">
            <w:pPr>
              <w:jc w:val="center"/>
              <w:rPr>
                <w:sz w:val="21"/>
                <w:szCs w:val="21"/>
              </w:rPr>
            </w:pPr>
            <w:r>
              <w:rPr>
                <w:sz w:val="21"/>
                <w:szCs w:val="21"/>
              </w:rPr>
              <w:t>东</w:t>
            </w:r>
            <w:r>
              <w:rPr>
                <w:sz w:val="21"/>
                <w:szCs w:val="21"/>
              </w:rPr>
              <w:t>-20</w:t>
            </w:r>
            <w:r>
              <w:rPr>
                <w:sz w:val="21"/>
                <w:szCs w:val="21"/>
              </w:rPr>
              <w:t>度、东</w:t>
            </w:r>
            <w:r>
              <w:rPr>
                <w:sz w:val="21"/>
                <w:szCs w:val="21"/>
              </w:rPr>
              <w:t>-10</w:t>
            </w:r>
            <w:r>
              <w:rPr>
                <w:sz w:val="21"/>
                <w:szCs w:val="21"/>
              </w:rPr>
              <w:t>度、东</w:t>
            </w:r>
            <w:r>
              <w:rPr>
                <w:sz w:val="21"/>
                <w:szCs w:val="21"/>
              </w:rPr>
              <w:t>0</w:t>
            </w:r>
            <w:r>
              <w:rPr>
                <w:sz w:val="21"/>
                <w:szCs w:val="21"/>
              </w:rPr>
              <w:t>度、东</w:t>
            </w:r>
            <w:r>
              <w:rPr>
                <w:sz w:val="21"/>
                <w:szCs w:val="21"/>
              </w:rPr>
              <w:t>10</w:t>
            </w:r>
            <w:r>
              <w:rPr>
                <w:sz w:val="21"/>
                <w:szCs w:val="21"/>
              </w:rPr>
              <w:t>度、东</w:t>
            </w:r>
            <w:r>
              <w:rPr>
                <w:sz w:val="21"/>
                <w:szCs w:val="21"/>
              </w:rPr>
              <w:t>20</w:t>
            </w:r>
            <w:r>
              <w:rPr>
                <w:sz w:val="21"/>
                <w:szCs w:val="21"/>
              </w:rPr>
              <w:t>度；西</w:t>
            </w:r>
            <w:r>
              <w:rPr>
                <w:sz w:val="21"/>
                <w:szCs w:val="21"/>
              </w:rPr>
              <w:t>-20</w:t>
            </w:r>
            <w:r>
              <w:rPr>
                <w:sz w:val="21"/>
                <w:szCs w:val="21"/>
              </w:rPr>
              <w:t>度、西</w:t>
            </w:r>
            <w:r>
              <w:rPr>
                <w:sz w:val="21"/>
                <w:szCs w:val="21"/>
              </w:rPr>
              <w:t>-10</w:t>
            </w:r>
            <w:r>
              <w:rPr>
                <w:sz w:val="21"/>
                <w:szCs w:val="21"/>
              </w:rPr>
              <w:t>度、西</w:t>
            </w:r>
            <w:r>
              <w:rPr>
                <w:sz w:val="21"/>
                <w:szCs w:val="21"/>
              </w:rPr>
              <w:t>0</w:t>
            </w:r>
            <w:r>
              <w:rPr>
                <w:sz w:val="21"/>
                <w:szCs w:val="21"/>
              </w:rPr>
              <w:t>度、西</w:t>
            </w:r>
            <w:r>
              <w:rPr>
                <w:sz w:val="21"/>
                <w:szCs w:val="21"/>
              </w:rPr>
              <w:t>10</w:t>
            </w:r>
            <w:r>
              <w:rPr>
                <w:sz w:val="21"/>
                <w:szCs w:val="21"/>
              </w:rPr>
              <w:t>度、西</w:t>
            </w:r>
            <w:r>
              <w:rPr>
                <w:sz w:val="21"/>
                <w:szCs w:val="21"/>
              </w:rPr>
              <w:t>20</w:t>
            </w:r>
            <w:r>
              <w:rPr>
                <w:sz w:val="21"/>
                <w:szCs w:val="21"/>
              </w:rPr>
              <w:t>度</w:t>
            </w:r>
          </w:p>
        </w:tc>
        <w:tc>
          <w:tcPr>
            <w:tcW w:w="0" w:type="auto"/>
            <w:tcBorders>
              <w:top w:val="single" w:sz="4" w:space="0" w:color="auto"/>
              <w:left w:val="single" w:sz="4" w:space="0" w:color="auto"/>
              <w:bottom w:val="single" w:sz="4" w:space="0" w:color="auto"/>
              <w:right w:val="single" w:sz="4" w:space="0" w:color="auto"/>
            </w:tcBorders>
            <w:vAlign w:val="center"/>
          </w:tcPr>
          <w:p w:rsidR="00DE34A4" w:rsidRDefault="00DE34A4" w:rsidP="00CF44D4">
            <w:pPr>
              <w:jc w:val="center"/>
              <w:rPr>
                <w:sz w:val="21"/>
                <w:szCs w:val="21"/>
              </w:rPr>
            </w:pPr>
            <w:r>
              <w:rPr>
                <w:sz w:val="21"/>
                <w:szCs w:val="21"/>
              </w:rPr>
              <w:t>定义</w:t>
            </w:r>
            <w:r>
              <w:rPr>
                <w:sz w:val="21"/>
                <w:szCs w:val="21"/>
              </w:rPr>
              <w:t>A</w:t>
            </w:r>
            <w:r>
              <w:rPr>
                <w:sz w:val="21"/>
                <w:szCs w:val="21"/>
              </w:rPr>
              <w:t>桥岸方向为正北方位，如图</w:t>
            </w:r>
            <w:r>
              <w:rPr>
                <w:sz w:val="21"/>
                <w:szCs w:val="21"/>
              </w:rPr>
              <w:t>6</w:t>
            </w:r>
            <w:r>
              <w:rPr>
                <w:sz w:val="21"/>
                <w:szCs w:val="21"/>
              </w:rPr>
              <w:t>所示，</w:t>
            </w:r>
            <w:r>
              <w:rPr>
                <w:sz w:val="21"/>
                <w:szCs w:val="21"/>
              </w:rPr>
              <w:t>0</w:t>
            </w:r>
            <w:r>
              <w:rPr>
                <w:sz w:val="21"/>
                <w:szCs w:val="21"/>
              </w:rPr>
              <w:t>度为垂直于桥梁长度方向，角度正负以支座竹板</w:t>
            </w:r>
            <w:r>
              <w:rPr>
                <w:sz w:val="21"/>
                <w:szCs w:val="21"/>
              </w:rPr>
              <w:t>b</w:t>
            </w:r>
            <w:r>
              <w:rPr>
                <w:sz w:val="21"/>
                <w:szCs w:val="21"/>
              </w:rPr>
              <w:t>上刻度为准</w:t>
            </w:r>
          </w:p>
        </w:tc>
      </w:tr>
    </w:tbl>
    <w:p w:rsidR="00DE34A4" w:rsidRDefault="00DE34A4" w:rsidP="00DE34A4">
      <w:pPr>
        <w:pStyle w:val="1"/>
        <w:numPr>
          <w:ilvl w:val="0"/>
          <w:numId w:val="3"/>
        </w:numPr>
        <w:spacing w:before="156" w:after="156" w:line="240" w:lineRule="auto"/>
        <w:ind w:left="0" w:firstLine="0"/>
        <w:rPr>
          <w:rFonts w:eastAsia="宋体"/>
          <w:sz w:val="32"/>
          <w:szCs w:val="32"/>
        </w:rPr>
      </w:pPr>
      <w:bookmarkStart w:id="16" w:name="_Ref35703315"/>
      <w:r>
        <w:rPr>
          <w:rFonts w:eastAsia="宋体"/>
          <w:sz w:val="32"/>
          <w:szCs w:val="32"/>
        </w:rPr>
        <w:t>模型制作要求</w:t>
      </w:r>
      <w:bookmarkEnd w:id="16"/>
    </w:p>
    <w:p w:rsidR="00DE34A4" w:rsidRDefault="00DE34A4" w:rsidP="00DE34A4">
      <w:pPr>
        <w:pStyle w:val="a7"/>
        <w:widowControl w:val="0"/>
        <w:numPr>
          <w:ilvl w:val="1"/>
          <w:numId w:val="8"/>
        </w:numPr>
        <w:spacing w:line="360" w:lineRule="auto"/>
        <w:ind w:left="420" w:firstLineChars="0"/>
        <w:textAlignment w:val="center"/>
        <w:rPr>
          <w:rFonts w:eastAsia="楷体"/>
        </w:rPr>
      </w:pPr>
      <w:r>
        <w:rPr>
          <w:rFonts w:eastAsia="楷体"/>
        </w:rPr>
        <w:t>模型制作材料由组委会统一提供（一份材料），参赛队使用的材料仅限于组委会提供的材料。</w:t>
      </w:r>
    </w:p>
    <w:p w:rsidR="00DE34A4" w:rsidRDefault="00DE34A4" w:rsidP="00DE34A4">
      <w:pPr>
        <w:pStyle w:val="a7"/>
        <w:widowControl w:val="0"/>
        <w:numPr>
          <w:ilvl w:val="1"/>
          <w:numId w:val="8"/>
        </w:numPr>
        <w:spacing w:line="360" w:lineRule="auto"/>
        <w:ind w:left="420" w:firstLineChars="0"/>
        <w:jc w:val="both"/>
        <w:rPr>
          <w:rFonts w:eastAsia="楷体"/>
        </w:rPr>
      </w:pPr>
      <w:r>
        <w:rPr>
          <w:rFonts w:eastAsia="楷体"/>
        </w:rPr>
        <w:t>模型采用竹材制作，竹材规格及发放量如</w:t>
      </w:r>
      <w:r>
        <w:rPr>
          <w:rFonts w:eastAsia="楷体"/>
        </w:rPr>
        <w:fldChar w:fldCharType="begin"/>
      </w:r>
      <w:r>
        <w:rPr>
          <w:rFonts w:eastAsia="楷体"/>
        </w:rPr>
        <w:instrText xml:space="preserve"> REF _Ref29633446 \r \h  \* MERGEFORMAT </w:instrText>
      </w:r>
      <w:r>
        <w:rPr>
          <w:rFonts w:eastAsia="楷体"/>
        </w:rPr>
      </w:r>
      <w:r>
        <w:rPr>
          <w:rFonts w:eastAsia="楷体"/>
        </w:rPr>
        <w:fldChar w:fldCharType="separate"/>
      </w:r>
      <w:r>
        <w:rPr>
          <w:rFonts w:eastAsia="楷体"/>
        </w:rPr>
        <w:t>表</w:t>
      </w:r>
      <w:r>
        <w:rPr>
          <w:rFonts w:eastAsia="楷体"/>
        </w:rPr>
        <w:t>3</w:t>
      </w:r>
      <w:r>
        <w:rPr>
          <w:rFonts w:eastAsia="楷体"/>
        </w:rPr>
        <w:fldChar w:fldCharType="end"/>
      </w:r>
      <w:r>
        <w:rPr>
          <w:rFonts w:eastAsia="楷体"/>
        </w:rPr>
        <w:t>所示，竹材参考力学指标见</w:t>
      </w:r>
      <w:r>
        <w:rPr>
          <w:rFonts w:eastAsia="楷体"/>
        </w:rPr>
        <w:fldChar w:fldCharType="begin"/>
      </w:r>
      <w:r>
        <w:rPr>
          <w:rFonts w:eastAsia="楷体"/>
        </w:rPr>
        <w:instrText xml:space="preserve"> REF _Ref29633485 \r \h  \* MERGEFORMAT </w:instrText>
      </w:r>
      <w:r>
        <w:rPr>
          <w:rFonts w:eastAsia="楷体"/>
        </w:rPr>
      </w:r>
      <w:r>
        <w:rPr>
          <w:rFonts w:eastAsia="楷体"/>
        </w:rPr>
        <w:fldChar w:fldCharType="separate"/>
      </w:r>
      <w:r>
        <w:rPr>
          <w:rFonts w:eastAsia="楷体"/>
        </w:rPr>
        <w:t>表</w:t>
      </w:r>
      <w:r>
        <w:rPr>
          <w:rFonts w:eastAsia="楷体"/>
        </w:rPr>
        <w:t>4</w:t>
      </w:r>
      <w:r>
        <w:rPr>
          <w:rFonts w:eastAsia="楷体"/>
        </w:rPr>
        <w:fldChar w:fldCharType="end"/>
      </w:r>
      <w:r>
        <w:rPr>
          <w:rFonts w:eastAsia="楷体"/>
        </w:rPr>
        <w:t>。组委会对发放的竹材材料仅从规格上负责。</w:t>
      </w:r>
    </w:p>
    <w:p w:rsidR="00DE34A4" w:rsidRDefault="00DE34A4" w:rsidP="00DE34A4">
      <w:pPr>
        <w:pStyle w:val="a7"/>
        <w:widowControl w:val="0"/>
        <w:numPr>
          <w:ilvl w:val="0"/>
          <w:numId w:val="7"/>
        </w:numPr>
        <w:spacing w:line="360" w:lineRule="auto"/>
        <w:ind w:left="0" w:firstLineChars="0" w:firstLine="0"/>
        <w:jc w:val="center"/>
        <w:rPr>
          <w:b/>
          <w:bCs/>
          <w:sz w:val="21"/>
          <w:szCs w:val="21"/>
        </w:rPr>
      </w:pPr>
      <w:bookmarkStart w:id="17" w:name="_Ref29633446"/>
      <w:r>
        <w:rPr>
          <w:b/>
          <w:bCs/>
          <w:sz w:val="21"/>
          <w:szCs w:val="21"/>
        </w:rPr>
        <w:t>竹材规格及用量上限</w:t>
      </w:r>
      <w:bookmarkEnd w:id="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656"/>
        <w:gridCol w:w="2111"/>
        <w:gridCol w:w="1596"/>
      </w:tblGrid>
      <w:tr w:rsidR="00DE34A4" w:rsidTr="00CF44D4">
        <w:trPr>
          <w:trHeight w:val="340"/>
          <w:jc w:val="center"/>
        </w:trPr>
        <w:tc>
          <w:tcPr>
            <w:tcW w:w="4551" w:type="dxa"/>
            <w:gridSpan w:val="2"/>
            <w:vAlign w:val="center"/>
          </w:tcPr>
          <w:p w:rsidR="00DE34A4" w:rsidRDefault="00DE34A4" w:rsidP="00CF44D4">
            <w:pPr>
              <w:jc w:val="center"/>
              <w:rPr>
                <w:b/>
                <w:bCs/>
                <w:sz w:val="21"/>
                <w:szCs w:val="21"/>
              </w:rPr>
            </w:pPr>
            <w:r>
              <w:rPr>
                <w:b/>
                <w:bCs/>
                <w:sz w:val="21"/>
                <w:szCs w:val="21"/>
              </w:rPr>
              <w:t>竹材规格</w:t>
            </w:r>
          </w:p>
        </w:tc>
        <w:tc>
          <w:tcPr>
            <w:tcW w:w="2111" w:type="dxa"/>
            <w:vAlign w:val="center"/>
          </w:tcPr>
          <w:p w:rsidR="00DE34A4" w:rsidRDefault="00DE34A4" w:rsidP="00CF44D4">
            <w:pPr>
              <w:jc w:val="center"/>
              <w:rPr>
                <w:b/>
                <w:bCs/>
                <w:sz w:val="21"/>
                <w:szCs w:val="21"/>
              </w:rPr>
            </w:pPr>
            <w:r>
              <w:rPr>
                <w:b/>
                <w:bCs/>
                <w:sz w:val="21"/>
                <w:szCs w:val="21"/>
              </w:rPr>
              <w:t>竹材名称</w:t>
            </w:r>
          </w:p>
        </w:tc>
        <w:tc>
          <w:tcPr>
            <w:tcW w:w="1596" w:type="dxa"/>
            <w:vAlign w:val="center"/>
          </w:tcPr>
          <w:p w:rsidR="00DE34A4" w:rsidRDefault="00DE34A4" w:rsidP="00CF44D4">
            <w:pPr>
              <w:jc w:val="center"/>
              <w:rPr>
                <w:b/>
                <w:bCs/>
                <w:sz w:val="21"/>
                <w:szCs w:val="21"/>
              </w:rPr>
            </w:pPr>
            <w:r>
              <w:rPr>
                <w:b/>
                <w:bCs/>
                <w:sz w:val="21"/>
                <w:szCs w:val="21"/>
              </w:rPr>
              <w:t>每队发放量</w:t>
            </w:r>
          </w:p>
        </w:tc>
      </w:tr>
      <w:tr w:rsidR="00DE34A4" w:rsidTr="00CF44D4">
        <w:trPr>
          <w:trHeight w:val="340"/>
          <w:jc w:val="center"/>
        </w:trPr>
        <w:tc>
          <w:tcPr>
            <w:tcW w:w="895" w:type="dxa"/>
            <w:vMerge w:val="restart"/>
            <w:vAlign w:val="center"/>
          </w:tcPr>
          <w:p w:rsidR="00DE34A4" w:rsidRDefault="00DE34A4" w:rsidP="00CF44D4">
            <w:pPr>
              <w:rPr>
                <w:sz w:val="21"/>
                <w:szCs w:val="21"/>
              </w:rPr>
            </w:pPr>
            <w:r>
              <w:rPr>
                <w:sz w:val="21"/>
                <w:szCs w:val="21"/>
              </w:rPr>
              <w:t>竹皮</w:t>
            </w:r>
          </w:p>
        </w:tc>
        <w:tc>
          <w:tcPr>
            <w:tcW w:w="3656" w:type="dxa"/>
            <w:vAlign w:val="center"/>
          </w:tcPr>
          <w:p w:rsidR="00DE34A4" w:rsidRDefault="00DE34A4" w:rsidP="00CF44D4">
            <w:pPr>
              <w:rPr>
                <w:sz w:val="21"/>
                <w:szCs w:val="21"/>
              </w:rPr>
            </w:pPr>
            <w:r>
              <w:rPr>
                <w:sz w:val="21"/>
                <w:szCs w:val="21"/>
              </w:rPr>
              <w:t>1250mm×430mm×0.20 (+0.05) mm</w:t>
            </w:r>
          </w:p>
        </w:tc>
        <w:tc>
          <w:tcPr>
            <w:tcW w:w="2111" w:type="dxa"/>
            <w:vAlign w:val="center"/>
          </w:tcPr>
          <w:p w:rsidR="00DE34A4" w:rsidRDefault="00DE34A4" w:rsidP="00CF44D4">
            <w:pPr>
              <w:rPr>
                <w:sz w:val="21"/>
                <w:szCs w:val="21"/>
              </w:rPr>
            </w:pPr>
            <w:r>
              <w:rPr>
                <w:sz w:val="21"/>
                <w:szCs w:val="21"/>
              </w:rPr>
              <w:t>集成竹片（单层）</w:t>
            </w:r>
          </w:p>
        </w:tc>
        <w:tc>
          <w:tcPr>
            <w:tcW w:w="1596" w:type="dxa"/>
            <w:vAlign w:val="center"/>
          </w:tcPr>
          <w:p w:rsidR="00DE34A4" w:rsidRDefault="00DE34A4" w:rsidP="00CF44D4">
            <w:pPr>
              <w:jc w:val="center"/>
              <w:rPr>
                <w:sz w:val="21"/>
                <w:szCs w:val="21"/>
              </w:rPr>
            </w:pPr>
            <w:r>
              <w:rPr>
                <w:sz w:val="21"/>
                <w:szCs w:val="21"/>
              </w:rPr>
              <w:t>1</w:t>
            </w:r>
            <w:r>
              <w:rPr>
                <w:sz w:val="21"/>
                <w:szCs w:val="21"/>
              </w:rPr>
              <w:t>张</w:t>
            </w:r>
          </w:p>
        </w:tc>
      </w:tr>
      <w:tr w:rsidR="00DE34A4" w:rsidTr="00CF44D4">
        <w:trPr>
          <w:trHeight w:val="340"/>
          <w:jc w:val="center"/>
        </w:trPr>
        <w:tc>
          <w:tcPr>
            <w:tcW w:w="895" w:type="dxa"/>
            <w:vMerge/>
            <w:vAlign w:val="center"/>
          </w:tcPr>
          <w:p w:rsidR="00DE34A4" w:rsidRDefault="00DE34A4" w:rsidP="00CF44D4">
            <w:pPr>
              <w:rPr>
                <w:sz w:val="21"/>
                <w:szCs w:val="21"/>
              </w:rPr>
            </w:pPr>
          </w:p>
        </w:tc>
        <w:tc>
          <w:tcPr>
            <w:tcW w:w="3656" w:type="dxa"/>
            <w:vAlign w:val="center"/>
          </w:tcPr>
          <w:p w:rsidR="00DE34A4" w:rsidRDefault="00DE34A4" w:rsidP="00CF44D4">
            <w:pPr>
              <w:rPr>
                <w:sz w:val="21"/>
                <w:szCs w:val="21"/>
              </w:rPr>
            </w:pPr>
            <w:r>
              <w:rPr>
                <w:sz w:val="21"/>
                <w:szCs w:val="21"/>
              </w:rPr>
              <w:t>1250mm×430mm×0.35 (+0.05) mm</w:t>
            </w:r>
          </w:p>
        </w:tc>
        <w:tc>
          <w:tcPr>
            <w:tcW w:w="2111" w:type="dxa"/>
            <w:vAlign w:val="center"/>
          </w:tcPr>
          <w:p w:rsidR="00DE34A4" w:rsidRDefault="00DE34A4" w:rsidP="00CF44D4">
            <w:pPr>
              <w:rPr>
                <w:sz w:val="21"/>
                <w:szCs w:val="21"/>
              </w:rPr>
            </w:pPr>
            <w:r>
              <w:rPr>
                <w:sz w:val="21"/>
                <w:szCs w:val="21"/>
              </w:rPr>
              <w:t>集成竹片（双层）</w:t>
            </w:r>
          </w:p>
        </w:tc>
        <w:tc>
          <w:tcPr>
            <w:tcW w:w="1596" w:type="dxa"/>
            <w:vAlign w:val="center"/>
          </w:tcPr>
          <w:p w:rsidR="00DE34A4" w:rsidRDefault="00DE34A4" w:rsidP="00CF44D4">
            <w:pPr>
              <w:jc w:val="center"/>
              <w:rPr>
                <w:sz w:val="21"/>
                <w:szCs w:val="21"/>
              </w:rPr>
            </w:pPr>
            <w:r>
              <w:rPr>
                <w:sz w:val="21"/>
                <w:szCs w:val="21"/>
              </w:rPr>
              <w:t>1</w:t>
            </w:r>
            <w:r>
              <w:rPr>
                <w:sz w:val="21"/>
                <w:szCs w:val="21"/>
              </w:rPr>
              <w:t>张</w:t>
            </w:r>
          </w:p>
        </w:tc>
      </w:tr>
      <w:tr w:rsidR="00DE34A4" w:rsidTr="00CF44D4">
        <w:trPr>
          <w:trHeight w:val="340"/>
          <w:jc w:val="center"/>
        </w:trPr>
        <w:tc>
          <w:tcPr>
            <w:tcW w:w="895" w:type="dxa"/>
            <w:vMerge/>
            <w:vAlign w:val="center"/>
          </w:tcPr>
          <w:p w:rsidR="00DE34A4" w:rsidRDefault="00DE34A4" w:rsidP="00CF44D4">
            <w:pPr>
              <w:rPr>
                <w:sz w:val="21"/>
                <w:szCs w:val="21"/>
              </w:rPr>
            </w:pPr>
          </w:p>
        </w:tc>
        <w:tc>
          <w:tcPr>
            <w:tcW w:w="3656" w:type="dxa"/>
            <w:vAlign w:val="center"/>
          </w:tcPr>
          <w:p w:rsidR="00DE34A4" w:rsidRDefault="00DE34A4" w:rsidP="00CF44D4">
            <w:pPr>
              <w:rPr>
                <w:sz w:val="21"/>
                <w:szCs w:val="21"/>
              </w:rPr>
            </w:pPr>
            <w:r>
              <w:rPr>
                <w:sz w:val="21"/>
                <w:szCs w:val="21"/>
              </w:rPr>
              <w:t>1250mm×430mm×0.50 (+0.05) mm</w:t>
            </w:r>
          </w:p>
        </w:tc>
        <w:tc>
          <w:tcPr>
            <w:tcW w:w="2111" w:type="dxa"/>
            <w:vAlign w:val="center"/>
          </w:tcPr>
          <w:p w:rsidR="00DE34A4" w:rsidRDefault="00DE34A4" w:rsidP="00CF44D4">
            <w:pPr>
              <w:rPr>
                <w:sz w:val="21"/>
                <w:szCs w:val="21"/>
              </w:rPr>
            </w:pPr>
            <w:r>
              <w:rPr>
                <w:sz w:val="21"/>
                <w:szCs w:val="21"/>
              </w:rPr>
              <w:t>集成竹片（双层）</w:t>
            </w:r>
          </w:p>
        </w:tc>
        <w:tc>
          <w:tcPr>
            <w:tcW w:w="1596" w:type="dxa"/>
            <w:vAlign w:val="center"/>
          </w:tcPr>
          <w:p w:rsidR="00DE34A4" w:rsidRDefault="00DE34A4" w:rsidP="00CF44D4">
            <w:pPr>
              <w:jc w:val="center"/>
              <w:rPr>
                <w:sz w:val="21"/>
                <w:szCs w:val="21"/>
              </w:rPr>
            </w:pPr>
            <w:r>
              <w:rPr>
                <w:sz w:val="21"/>
                <w:szCs w:val="21"/>
              </w:rPr>
              <w:t>1</w:t>
            </w:r>
            <w:r>
              <w:rPr>
                <w:sz w:val="21"/>
                <w:szCs w:val="21"/>
              </w:rPr>
              <w:t>张</w:t>
            </w:r>
          </w:p>
        </w:tc>
      </w:tr>
      <w:tr w:rsidR="00DE34A4" w:rsidTr="00CF44D4">
        <w:trPr>
          <w:trHeight w:val="340"/>
          <w:jc w:val="center"/>
        </w:trPr>
        <w:tc>
          <w:tcPr>
            <w:tcW w:w="895" w:type="dxa"/>
            <w:vMerge w:val="restart"/>
            <w:vAlign w:val="center"/>
          </w:tcPr>
          <w:p w:rsidR="00DE34A4" w:rsidRDefault="00DE34A4" w:rsidP="00CF44D4">
            <w:pPr>
              <w:rPr>
                <w:sz w:val="21"/>
                <w:szCs w:val="21"/>
              </w:rPr>
            </w:pPr>
            <w:r>
              <w:rPr>
                <w:sz w:val="21"/>
                <w:szCs w:val="21"/>
              </w:rPr>
              <w:t>竹杆件</w:t>
            </w:r>
          </w:p>
        </w:tc>
        <w:tc>
          <w:tcPr>
            <w:tcW w:w="3656" w:type="dxa"/>
            <w:vAlign w:val="center"/>
          </w:tcPr>
          <w:p w:rsidR="00DE34A4" w:rsidRDefault="00DE34A4" w:rsidP="00CF44D4">
            <w:pPr>
              <w:rPr>
                <w:sz w:val="21"/>
                <w:szCs w:val="21"/>
              </w:rPr>
            </w:pPr>
            <w:r>
              <w:rPr>
                <w:sz w:val="21"/>
                <w:szCs w:val="21"/>
              </w:rPr>
              <w:t>930mm×6mm×1.0 (+0.5) mm</w:t>
            </w:r>
          </w:p>
        </w:tc>
        <w:tc>
          <w:tcPr>
            <w:tcW w:w="2111" w:type="dxa"/>
            <w:vAlign w:val="center"/>
          </w:tcPr>
          <w:p w:rsidR="00DE34A4" w:rsidRDefault="00DE34A4" w:rsidP="00CF44D4">
            <w:pPr>
              <w:rPr>
                <w:sz w:val="21"/>
                <w:szCs w:val="21"/>
              </w:rPr>
            </w:pPr>
            <w:r>
              <w:rPr>
                <w:sz w:val="21"/>
                <w:szCs w:val="21"/>
              </w:rPr>
              <w:t>集成竹材</w:t>
            </w:r>
          </w:p>
        </w:tc>
        <w:tc>
          <w:tcPr>
            <w:tcW w:w="1596" w:type="dxa"/>
            <w:vAlign w:val="center"/>
          </w:tcPr>
          <w:p w:rsidR="00DE34A4" w:rsidRDefault="00DE34A4" w:rsidP="00CF44D4">
            <w:pPr>
              <w:jc w:val="center"/>
              <w:rPr>
                <w:sz w:val="21"/>
                <w:szCs w:val="21"/>
              </w:rPr>
            </w:pPr>
            <w:r>
              <w:rPr>
                <w:sz w:val="21"/>
                <w:szCs w:val="21"/>
              </w:rPr>
              <w:t>20</w:t>
            </w:r>
            <w:r>
              <w:rPr>
                <w:sz w:val="21"/>
                <w:szCs w:val="21"/>
              </w:rPr>
              <w:t>根</w:t>
            </w:r>
          </w:p>
        </w:tc>
      </w:tr>
      <w:tr w:rsidR="00DE34A4" w:rsidTr="00CF44D4">
        <w:trPr>
          <w:trHeight w:val="340"/>
          <w:jc w:val="center"/>
        </w:trPr>
        <w:tc>
          <w:tcPr>
            <w:tcW w:w="895" w:type="dxa"/>
            <w:vMerge/>
            <w:vAlign w:val="center"/>
          </w:tcPr>
          <w:p w:rsidR="00DE34A4" w:rsidRDefault="00DE34A4" w:rsidP="00CF44D4">
            <w:pPr>
              <w:rPr>
                <w:sz w:val="21"/>
                <w:szCs w:val="21"/>
              </w:rPr>
            </w:pPr>
          </w:p>
        </w:tc>
        <w:tc>
          <w:tcPr>
            <w:tcW w:w="3656" w:type="dxa"/>
            <w:vAlign w:val="center"/>
          </w:tcPr>
          <w:p w:rsidR="00DE34A4" w:rsidRDefault="00DE34A4" w:rsidP="00CF44D4">
            <w:pPr>
              <w:rPr>
                <w:sz w:val="21"/>
                <w:szCs w:val="21"/>
              </w:rPr>
            </w:pPr>
            <w:r>
              <w:rPr>
                <w:sz w:val="21"/>
                <w:szCs w:val="21"/>
              </w:rPr>
              <w:t>930mm×2mm×2.0 (+0.5) mm</w:t>
            </w:r>
          </w:p>
        </w:tc>
        <w:tc>
          <w:tcPr>
            <w:tcW w:w="2111" w:type="dxa"/>
            <w:vAlign w:val="center"/>
          </w:tcPr>
          <w:p w:rsidR="00DE34A4" w:rsidRDefault="00DE34A4" w:rsidP="00CF44D4">
            <w:pPr>
              <w:rPr>
                <w:sz w:val="21"/>
                <w:szCs w:val="21"/>
              </w:rPr>
            </w:pPr>
            <w:r>
              <w:rPr>
                <w:sz w:val="21"/>
                <w:szCs w:val="21"/>
              </w:rPr>
              <w:t>集成竹材</w:t>
            </w:r>
          </w:p>
        </w:tc>
        <w:tc>
          <w:tcPr>
            <w:tcW w:w="1596" w:type="dxa"/>
            <w:vAlign w:val="center"/>
          </w:tcPr>
          <w:p w:rsidR="00DE34A4" w:rsidRDefault="00DE34A4" w:rsidP="00CF44D4">
            <w:pPr>
              <w:jc w:val="center"/>
              <w:rPr>
                <w:sz w:val="21"/>
                <w:szCs w:val="21"/>
              </w:rPr>
            </w:pPr>
            <w:r>
              <w:rPr>
                <w:sz w:val="21"/>
                <w:szCs w:val="21"/>
              </w:rPr>
              <w:t>20</w:t>
            </w:r>
            <w:r>
              <w:rPr>
                <w:sz w:val="21"/>
                <w:szCs w:val="21"/>
              </w:rPr>
              <w:t>根</w:t>
            </w:r>
          </w:p>
        </w:tc>
      </w:tr>
      <w:tr w:rsidR="00DE34A4" w:rsidTr="00CF44D4">
        <w:trPr>
          <w:trHeight w:val="340"/>
          <w:jc w:val="center"/>
        </w:trPr>
        <w:tc>
          <w:tcPr>
            <w:tcW w:w="895" w:type="dxa"/>
            <w:vMerge/>
            <w:vAlign w:val="center"/>
          </w:tcPr>
          <w:p w:rsidR="00DE34A4" w:rsidRDefault="00DE34A4" w:rsidP="00CF44D4">
            <w:pPr>
              <w:rPr>
                <w:sz w:val="21"/>
                <w:szCs w:val="21"/>
              </w:rPr>
            </w:pPr>
          </w:p>
        </w:tc>
        <w:tc>
          <w:tcPr>
            <w:tcW w:w="3656" w:type="dxa"/>
            <w:vAlign w:val="center"/>
          </w:tcPr>
          <w:p w:rsidR="00DE34A4" w:rsidRDefault="00DE34A4" w:rsidP="00CF44D4">
            <w:pPr>
              <w:rPr>
                <w:sz w:val="21"/>
                <w:szCs w:val="21"/>
              </w:rPr>
            </w:pPr>
            <w:r>
              <w:rPr>
                <w:sz w:val="21"/>
                <w:szCs w:val="21"/>
              </w:rPr>
              <w:t>930mm×3mm×3.0 (+0.5) mm</w:t>
            </w:r>
          </w:p>
        </w:tc>
        <w:tc>
          <w:tcPr>
            <w:tcW w:w="2111" w:type="dxa"/>
            <w:vAlign w:val="center"/>
          </w:tcPr>
          <w:p w:rsidR="00DE34A4" w:rsidRDefault="00DE34A4" w:rsidP="00CF44D4">
            <w:pPr>
              <w:rPr>
                <w:sz w:val="21"/>
                <w:szCs w:val="21"/>
              </w:rPr>
            </w:pPr>
            <w:r>
              <w:rPr>
                <w:sz w:val="21"/>
                <w:szCs w:val="21"/>
              </w:rPr>
              <w:t>集成竹材</w:t>
            </w:r>
          </w:p>
        </w:tc>
        <w:tc>
          <w:tcPr>
            <w:tcW w:w="1596" w:type="dxa"/>
            <w:vAlign w:val="center"/>
          </w:tcPr>
          <w:p w:rsidR="00DE34A4" w:rsidRDefault="00DE34A4" w:rsidP="00CF44D4">
            <w:pPr>
              <w:jc w:val="center"/>
              <w:rPr>
                <w:sz w:val="21"/>
                <w:szCs w:val="21"/>
              </w:rPr>
            </w:pPr>
            <w:r>
              <w:rPr>
                <w:sz w:val="21"/>
                <w:szCs w:val="21"/>
              </w:rPr>
              <w:t>20</w:t>
            </w:r>
            <w:r>
              <w:rPr>
                <w:sz w:val="21"/>
                <w:szCs w:val="21"/>
              </w:rPr>
              <w:t>根</w:t>
            </w:r>
          </w:p>
        </w:tc>
      </w:tr>
    </w:tbl>
    <w:p w:rsidR="00DE34A4" w:rsidRDefault="00DE34A4" w:rsidP="00DE34A4">
      <w:r>
        <w:t>注：竹材规格括号内数字仅为材料厚度误差限，通常为正公差；</w:t>
      </w:r>
    </w:p>
    <w:p w:rsidR="00DE34A4" w:rsidRDefault="00DE34A4" w:rsidP="00DE34A4">
      <w:pPr>
        <w:pStyle w:val="a7"/>
        <w:widowControl w:val="0"/>
        <w:numPr>
          <w:ilvl w:val="0"/>
          <w:numId w:val="7"/>
        </w:numPr>
        <w:spacing w:line="360" w:lineRule="auto"/>
        <w:ind w:left="0" w:firstLineChars="0" w:firstLine="0"/>
        <w:jc w:val="center"/>
        <w:rPr>
          <w:b/>
          <w:bCs/>
          <w:sz w:val="21"/>
          <w:szCs w:val="21"/>
        </w:rPr>
      </w:pPr>
      <w:bookmarkStart w:id="18" w:name="_Ref29633485"/>
      <w:r>
        <w:rPr>
          <w:b/>
          <w:bCs/>
          <w:sz w:val="21"/>
          <w:szCs w:val="21"/>
        </w:rPr>
        <w:t>竹材参考力学指标</w:t>
      </w:r>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701"/>
      </w:tblGrid>
      <w:tr w:rsidR="00DE34A4" w:rsidTr="00CF44D4">
        <w:trPr>
          <w:trHeight w:val="340"/>
          <w:jc w:val="center"/>
        </w:trPr>
        <w:tc>
          <w:tcPr>
            <w:tcW w:w="1701" w:type="dxa"/>
            <w:vAlign w:val="center"/>
          </w:tcPr>
          <w:p w:rsidR="00DE34A4" w:rsidRDefault="00DE34A4" w:rsidP="00CF44D4">
            <w:pPr>
              <w:jc w:val="center"/>
              <w:rPr>
                <w:b/>
                <w:bCs/>
                <w:sz w:val="21"/>
                <w:szCs w:val="21"/>
              </w:rPr>
            </w:pPr>
            <w:r>
              <w:rPr>
                <w:b/>
                <w:bCs/>
                <w:sz w:val="21"/>
                <w:szCs w:val="21"/>
              </w:rPr>
              <w:t>密度</w:t>
            </w:r>
          </w:p>
        </w:tc>
        <w:tc>
          <w:tcPr>
            <w:tcW w:w="1701" w:type="dxa"/>
            <w:vAlign w:val="center"/>
          </w:tcPr>
          <w:p w:rsidR="00DE34A4" w:rsidRDefault="00DE34A4" w:rsidP="00CF44D4">
            <w:pPr>
              <w:jc w:val="center"/>
              <w:rPr>
                <w:b/>
                <w:bCs/>
                <w:sz w:val="21"/>
                <w:szCs w:val="21"/>
              </w:rPr>
            </w:pPr>
            <w:r>
              <w:rPr>
                <w:b/>
                <w:bCs/>
                <w:sz w:val="21"/>
                <w:szCs w:val="21"/>
              </w:rPr>
              <w:t>顺纹抗拉强度</w:t>
            </w:r>
          </w:p>
        </w:tc>
        <w:tc>
          <w:tcPr>
            <w:tcW w:w="1701" w:type="dxa"/>
            <w:vAlign w:val="center"/>
          </w:tcPr>
          <w:p w:rsidR="00DE34A4" w:rsidRDefault="00DE34A4" w:rsidP="00CF44D4">
            <w:pPr>
              <w:jc w:val="center"/>
              <w:rPr>
                <w:b/>
                <w:bCs/>
                <w:sz w:val="21"/>
                <w:szCs w:val="21"/>
              </w:rPr>
            </w:pPr>
            <w:r>
              <w:rPr>
                <w:b/>
                <w:bCs/>
                <w:sz w:val="21"/>
                <w:szCs w:val="21"/>
              </w:rPr>
              <w:t>抗压强度</w:t>
            </w:r>
          </w:p>
        </w:tc>
        <w:tc>
          <w:tcPr>
            <w:tcW w:w="1701" w:type="dxa"/>
            <w:vAlign w:val="center"/>
          </w:tcPr>
          <w:p w:rsidR="00DE34A4" w:rsidRDefault="00DE34A4" w:rsidP="00CF44D4">
            <w:pPr>
              <w:jc w:val="center"/>
              <w:rPr>
                <w:b/>
                <w:bCs/>
                <w:sz w:val="21"/>
                <w:szCs w:val="21"/>
              </w:rPr>
            </w:pPr>
            <w:r>
              <w:rPr>
                <w:b/>
                <w:bCs/>
                <w:sz w:val="21"/>
                <w:szCs w:val="21"/>
              </w:rPr>
              <w:t>弹性模量</w:t>
            </w:r>
          </w:p>
        </w:tc>
      </w:tr>
      <w:tr w:rsidR="00DE34A4" w:rsidTr="00CF44D4">
        <w:trPr>
          <w:trHeight w:val="340"/>
          <w:jc w:val="center"/>
        </w:trPr>
        <w:tc>
          <w:tcPr>
            <w:tcW w:w="1701" w:type="dxa"/>
            <w:vAlign w:val="center"/>
          </w:tcPr>
          <w:p w:rsidR="00DE34A4" w:rsidRDefault="00DE34A4" w:rsidP="00CF44D4">
            <w:pPr>
              <w:jc w:val="center"/>
              <w:rPr>
                <w:sz w:val="21"/>
                <w:szCs w:val="21"/>
              </w:rPr>
            </w:pPr>
            <w:r>
              <w:rPr>
                <w:sz w:val="21"/>
                <w:szCs w:val="21"/>
              </w:rPr>
              <w:t>0.8 g/cm</w:t>
            </w:r>
            <w:r>
              <w:rPr>
                <w:sz w:val="21"/>
                <w:szCs w:val="21"/>
                <w:vertAlign w:val="superscript"/>
              </w:rPr>
              <w:t>3</w:t>
            </w:r>
          </w:p>
        </w:tc>
        <w:tc>
          <w:tcPr>
            <w:tcW w:w="1701" w:type="dxa"/>
            <w:vAlign w:val="center"/>
          </w:tcPr>
          <w:p w:rsidR="00DE34A4" w:rsidRDefault="00DE34A4" w:rsidP="00CF44D4">
            <w:pPr>
              <w:jc w:val="center"/>
              <w:rPr>
                <w:sz w:val="21"/>
                <w:szCs w:val="21"/>
              </w:rPr>
            </w:pPr>
            <w:r>
              <w:rPr>
                <w:sz w:val="21"/>
                <w:szCs w:val="21"/>
              </w:rPr>
              <w:t>60 MPa</w:t>
            </w:r>
          </w:p>
        </w:tc>
        <w:tc>
          <w:tcPr>
            <w:tcW w:w="1701" w:type="dxa"/>
            <w:vAlign w:val="center"/>
          </w:tcPr>
          <w:p w:rsidR="00DE34A4" w:rsidRDefault="00DE34A4" w:rsidP="00CF44D4">
            <w:pPr>
              <w:jc w:val="center"/>
              <w:rPr>
                <w:sz w:val="21"/>
                <w:szCs w:val="21"/>
              </w:rPr>
            </w:pPr>
            <w:r>
              <w:rPr>
                <w:sz w:val="21"/>
                <w:szCs w:val="21"/>
              </w:rPr>
              <w:t>30 MPa</w:t>
            </w:r>
          </w:p>
        </w:tc>
        <w:tc>
          <w:tcPr>
            <w:tcW w:w="1701" w:type="dxa"/>
            <w:vAlign w:val="center"/>
          </w:tcPr>
          <w:p w:rsidR="00DE34A4" w:rsidRDefault="00DE34A4" w:rsidP="00CF44D4">
            <w:pPr>
              <w:jc w:val="center"/>
              <w:rPr>
                <w:sz w:val="21"/>
                <w:szCs w:val="21"/>
              </w:rPr>
            </w:pPr>
            <w:r>
              <w:rPr>
                <w:sz w:val="21"/>
                <w:szCs w:val="21"/>
              </w:rPr>
              <w:t>6 GPa</w:t>
            </w:r>
          </w:p>
        </w:tc>
      </w:tr>
    </w:tbl>
    <w:p w:rsidR="00DE34A4" w:rsidRDefault="00DE34A4" w:rsidP="00DE34A4">
      <w:pPr>
        <w:pStyle w:val="1"/>
        <w:numPr>
          <w:ilvl w:val="0"/>
          <w:numId w:val="3"/>
        </w:numPr>
        <w:spacing w:before="156" w:after="156" w:line="240" w:lineRule="auto"/>
        <w:ind w:left="0" w:firstLine="0"/>
        <w:rPr>
          <w:rFonts w:eastAsia="宋体"/>
          <w:sz w:val="32"/>
          <w:szCs w:val="32"/>
        </w:rPr>
      </w:pPr>
      <w:r>
        <w:rPr>
          <w:rFonts w:eastAsia="宋体"/>
          <w:sz w:val="32"/>
          <w:szCs w:val="32"/>
        </w:rPr>
        <w:t>模型提交</w:t>
      </w:r>
    </w:p>
    <w:p w:rsidR="00DE34A4" w:rsidRDefault="00DE34A4" w:rsidP="00DE34A4">
      <w:pPr>
        <w:spacing w:line="360" w:lineRule="auto"/>
        <w:ind w:firstLine="420"/>
        <w:rPr>
          <w:rFonts w:eastAsia="楷体"/>
        </w:rPr>
      </w:pPr>
      <w:r>
        <w:rPr>
          <w:rFonts w:eastAsia="楷体"/>
        </w:rPr>
        <w:t>5</w:t>
      </w:r>
      <w:r>
        <w:rPr>
          <w:rFonts w:eastAsia="楷体"/>
        </w:rPr>
        <w:t>月</w:t>
      </w:r>
      <w:r>
        <w:rPr>
          <w:rFonts w:eastAsia="楷体"/>
        </w:rPr>
        <w:t>27</w:t>
      </w:r>
      <w:r>
        <w:rPr>
          <w:rFonts w:eastAsia="楷体"/>
        </w:rPr>
        <w:t>日提交模型，提交模型时队长申报螺丝钉数量。由工作人员对模型对模型进行几何参数审查并称重，得到</w:t>
      </w:r>
      <w:r>
        <w:rPr>
          <w:rFonts w:eastAsia="楷体"/>
          <w:i/>
          <w:iCs/>
        </w:rPr>
        <w:t>M</w:t>
      </w:r>
      <w:r>
        <w:rPr>
          <w:rFonts w:eastAsia="楷体"/>
          <w:vertAlign w:val="subscript"/>
        </w:rPr>
        <w:t>Ai</w:t>
      </w:r>
      <w:r>
        <w:rPr>
          <w:rFonts w:eastAsia="楷体"/>
        </w:rPr>
        <w:t>（精度</w:t>
      </w:r>
      <w:r>
        <w:rPr>
          <w:rFonts w:eastAsia="楷体"/>
        </w:rPr>
        <w:t>0.1g</w:t>
      </w:r>
      <w:r>
        <w:rPr>
          <w:rFonts w:eastAsia="楷体"/>
        </w:rPr>
        <w:t>）。将安装模型使用的自攻螺钉总数量折算成模型质量</w:t>
      </w:r>
      <w:r>
        <w:rPr>
          <w:rFonts w:eastAsia="楷体"/>
          <w:i/>
          <w:iCs/>
        </w:rPr>
        <w:t>M</w:t>
      </w:r>
      <w:r>
        <w:rPr>
          <w:rFonts w:eastAsia="楷体"/>
          <w:vertAlign w:val="subscript"/>
        </w:rPr>
        <w:t>Bi</w:t>
      </w:r>
      <w:r>
        <w:rPr>
          <w:rFonts w:eastAsia="楷体"/>
        </w:rPr>
        <w:t>（单位：</w:t>
      </w:r>
      <w:r>
        <w:rPr>
          <w:rFonts w:eastAsia="楷体"/>
        </w:rPr>
        <w:t>g</w:t>
      </w:r>
      <w:r>
        <w:rPr>
          <w:rFonts w:eastAsia="楷体"/>
        </w:rPr>
        <w:t>），模型总质量</w:t>
      </w:r>
      <w:r>
        <w:rPr>
          <w:rFonts w:eastAsia="楷体"/>
          <w:i/>
          <w:iCs/>
        </w:rPr>
        <w:t>M</w:t>
      </w:r>
      <w:r>
        <w:rPr>
          <w:rFonts w:eastAsia="楷体"/>
          <w:vertAlign w:val="subscript"/>
        </w:rPr>
        <w:t>i</w:t>
      </w:r>
      <w:r>
        <w:rPr>
          <w:rFonts w:eastAsia="楷体"/>
        </w:rPr>
        <w:t>=</w:t>
      </w:r>
      <w:r>
        <w:rPr>
          <w:rFonts w:eastAsia="楷体"/>
          <w:i/>
          <w:iCs/>
        </w:rPr>
        <w:t>M</w:t>
      </w:r>
      <w:r>
        <w:rPr>
          <w:rFonts w:eastAsia="楷体"/>
          <w:vertAlign w:val="subscript"/>
        </w:rPr>
        <w:t>Ai</w:t>
      </w:r>
      <w:r>
        <w:rPr>
          <w:rFonts w:eastAsia="楷体"/>
        </w:rPr>
        <w:t>+</w:t>
      </w:r>
      <w:r>
        <w:rPr>
          <w:rFonts w:eastAsia="楷体"/>
          <w:i/>
          <w:iCs/>
        </w:rPr>
        <w:t>M</w:t>
      </w:r>
      <w:r>
        <w:rPr>
          <w:rFonts w:eastAsia="楷体"/>
          <w:vertAlign w:val="subscript"/>
        </w:rPr>
        <w:t>Bi</w:t>
      </w:r>
      <w:r>
        <w:rPr>
          <w:rFonts w:eastAsia="楷体"/>
        </w:rPr>
        <w:t>。</w:t>
      </w:r>
    </w:p>
    <w:p w:rsidR="00DE34A4" w:rsidRDefault="00DE34A4" w:rsidP="00DE34A4">
      <w:pPr>
        <w:pStyle w:val="1"/>
        <w:numPr>
          <w:ilvl w:val="0"/>
          <w:numId w:val="3"/>
        </w:numPr>
        <w:spacing w:before="156" w:after="156" w:line="240" w:lineRule="auto"/>
        <w:ind w:left="0" w:firstLine="0"/>
        <w:rPr>
          <w:rFonts w:eastAsia="宋体"/>
          <w:sz w:val="32"/>
          <w:szCs w:val="32"/>
        </w:rPr>
      </w:pPr>
      <w:r>
        <w:rPr>
          <w:rFonts w:eastAsia="宋体"/>
          <w:sz w:val="32"/>
          <w:szCs w:val="32"/>
        </w:rPr>
        <w:t>模型预安装和尺寸检查</w:t>
      </w:r>
    </w:p>
    <w:p w:rsidR="00DE34A4" w:rsidRDefault="00DE34A4" w:rsidP="00DE34A4">
      <w:pPr>
        <w:spacing w:line="360" w:lineRule="auto"/>
        <w:ind w:firstLineChars="200" w:firstLine="440"/>
        <w:rPr>
          <w:rFonts w:eastAsia="楷体"/>
        </w:rPr>
      </w:pPr>
      <w:r>
        <w:rPr>
          <w:rFonts w:eastAsia="楷体"/>
        </w:rPr>
        <w:t>模型预安装和尺寸检查时提供加载装置、尺寸检测板、桥面板和支座竹板</w:t>
      </w:r>
      <w:r>
        <w:rPr>
          <w:rFonts w:eastAsia="楷体"/>
        </w:rPr>
        <w:t>b</w:t>
      </w:r>
      <w:r>
        <w:rPr>
          <w:rFonts w:eastAsia="楷体"/>
        </w:rPr>
        <w:t>。</w:t>
      </w:r>
    </w:p>
    <w:p w:rsidR="00DE34A4" w:rsidRDefault="00DE34A4" w:rsidP="00DE34A4">
      <w:pPr>
        <w:spacing w:line="360" w:lineRule="auto"/>
        <w:ind w:firstLineChars="200" w:firstLine="440"/>
        <w:rPr>
          <w:rFonts w:eastAsia="楷体"/>
        </w:rPr>
      </w:pPr>
      <w:r>
        <w:rPr>
          <w:rFonts w:eastAsia="楷体" w:hint="eastAsia"/>
        </w:rPr>
        <w:lastRenderedPageBreak/>
        <w:t>正式加载前</w:t>
      </w:r>
      <w:r>
        <w:rPr>
          <w:rFonts w:eastAsia="楷体"/>
        </w:rPr>
        <w:t>，参赛队员将模型按照</w:t>
      </w:r>
      <w:r>
        <w:rPr>
          <w:rFonts w:eastAsia="楷体"/>
        </w:rPr>
        <w:fldChar w:fldCharType="begin"/>
      </w:r>
      <w:r>
        <w:rPr>
          <w:rFonts w:eastAsia="楷体"/>
        </w:rPr>
        <w:instrText xml:space="preserve"> REF _Ref35939026 \r \h  \* MERGEFORMAT </w:instrText>
      </w:r>
      <w:r>
        <w:rPr>
          <w:rFonts w:eastAsia="楷体"/>
        </w:rPr>
      </w:r>
      <w:r>
        <w:rPr>
          <w:rFonts w:eastAsia="楷体"/>
        </w:rPr>
        <w:fldChar w:fldCharType="separate"/>
      </w:r>
      <w:r>
        <w:rPr>
          <w:rFonts w:eastAsia="楷体"/>
        </w:rPr>
        <w:t>2.2.5</w:t>
      </w:r>
      <w:r>
        <w:rPr>
          <w:rFonts w:eastAsia="楷体"/>
        </w:rPr>
        <w:fldChar w:fldCharType="end"/>
      </w:r>
      <w:r>
        <w:rPr>
          <w:rFonts w:eastAsia="楷体"/>
        </w:rPr>
        <w:t>条所述方法与支座竹板</w:t>
      </w:r>
      <w:r>
        <w:rPr>
          <w:rFonts w:eastAsia="楷体"/>
        </w:rPr>
        <w:t>b</w:t>
      </w:r>
      <w:r>
        <w:rPr>
          <w:rFonts w:eastAsia="楷体"/>
        </w:rPr>
        <w:t>连接，并将连接支座竹板</w:t>
      </w:r>
      <w:r>
        <w:rPr>
          <w:rFonts w:eastAsia="楷体"/>
        </w:rPr>
        <w:t>b</w:t>
      </w:r>
      <w:r>
        <w:rPr>
          <w:rFonts w:eastAsia="楷体"/>
        </w:rPr>
        <w:t>的桥梁固定在加载装置上。安装时提供手电钻、直尺、铅笔等辅助工具。安装完成后，进行几何外观尺寸检测和规避区检查，包括模型</w:t>
      </w:r>
      <w:r>
        <w:rPr>
          <w:rFonts w:eastAsia="楷体"/>
          <w:b/>
          <w:bCs/>
        </w:rPr>
        <w:t>主跨</w:t>
      </w:r>
      <w:r>
        <w:rPr>
          <w:rFonts w:eastAsia="楷体"/>
          <w:b/>
          <w:bCs/>
        </w:rPr>
        <w:t>L</w:t>
      </w:r>
      <w:r>
        <w:rPr>
          <w:rFonts w:eastAsia="楷体"/>
          <w:b/>
          <w:bCs/>
          <w:vertAlign w:val="subscript"/>
        </w:rPr>
        <w:t>1</w:t>
      </w:r>
      <w:r>
        <w:rPr>
          <w:rFonts w:eastAsia="楷体"/>
          <w:b/>
          <w:bCs/>
        </w:rPr>
        <w:t>桥下净空顶标高、宽度不小于</w:t>
      </w:r>
      <w:r>
        <w:rPr>
          <w:rFonts w:eastAsia="楷体"/>
          <w:b/>
          <w:bCs/>
        </w:rPr>
        <w:t>320mm</w:t>
      </w:r>
      <w:r>
        <w:rPr>
          <w:rFonts w:eastAsia="楷体"/>
          <w:b/>
          <w:bCs/>
        </w:rPr>
        <w:t>、</w:t>
      </w:r>
      <w:r>
        <w:rPr>
          <w:rFonts w:eastAsia="楷体"/>
          <w:b/>
          <w:bCs/>
        </w:rPr>
        <w:fldChar w:fldCharType="begin"/>
      </w:r>
      <w:r>
        <w:rPr>
          <w:rFonts w:eastAsia="楷体"/>
          <w:b/>
          <w:bCs/>
        </w:rPr>
        <w:instrText xml:space="preserve"> = 3 \* GB3 </w:instrText>
      </w:r>
      <w:r>
        <w:rPr>
          <w:rFonts w:eastAsia="楷体"/>
          <w:b/>
          <w:bCs/>
        </w:rPr>
        <w:fldChar w:fldCharType="separate"/>
      </w:r>
      <w:r>
        <w:rPr>
          <w:rFonts w:ascii="宋体" w:eastAsia="宋体" w:hAnsi="宋体" w:cs="宋体" w:hint="eastAsia"/>
          <w:b/>
          <w:bCs/>
        </w:rPr>
        <w:t>③</w:t>
      </w:r>
      <w:r>
        <w:rPr>
          <w:rFonts w:eastAsia="楷体"/>
          <w:b/>
          <w:bCs/>
        </w:rPr>
        <w:fldChar w:fldCharType="end"/>
      </w:r>
      <w:r>
        <w:rPr>
          <w:rFonts w:eastAsia="楷体"/>
          <w:b/>
          <w:bCs/>
        </w:rPr>
        <w:t>轴线处桥墩标高</w:t>
      </w:r>
      <w:r>
        <w:rPr>
          <w:rFonts w:eastAsia="楷体"/>
          <w:b/>
          <w:bCs/>
        </w:rPr>
        <w:t>-150mm</w:t>
      </w:r>
      <w:r>
        <w:rPr>
          <w:rFonts w:eastAsia="楷体"/>
          <w:b/>
          <w:bCs/>
        </w:rPr>
        <w:t>以下结构及螺钉的对称布置</w:t>
      </w:r>
      <w:r>
        <w:rPr>
          <w:rFonts w:eastAsia="楷体"/>
        </w:rPr>
        <w:t>等要求。铺设</w:t>
      </w:r>
      <w:r>
        <w:rPr>
          <w:rFonts w:eastAsia="楷体"/>
        </w:rPr>
        <w:fldChar w:fldCharType="begin"/>
      </w:r>
      <w:r>
        <w:rPr>
          <w:rFonts w:eastAsia="楷体"/>
        </w:rPr>
        <w:instrText xml:space="preserve"> REF _Ref35689448 \r \h  \* MERGEFORMAT </w:instrText>
      </w:r>
      <w:r>
        <w:rPr>
          <w:rFonts w:eastAsia="楷体"/>
        </w:rPr>
      </w:r>
      <w:r>
        <w:rPr>
          <w:rFonts w:eastAsia="楷体"/>
        </w:rPr>
        <w:fldChar w:fldCharType="separate"/>
      </w:r>
      <w:r>
        <w:rPr>
          <w:rFonts w:eastAsia="楷体"/>
        </w:rPr>
        <w:t>2.3.3</w:t>
      </w:r>
      <w:r>
        <w:rPr>
          <w:rFonts w:eastAsia="楷体"/>
        </w:rPr>
        <w:fldChar w:fldCharType="end"/>
      </w:r>
      <w:r>
        <w:rPr>
          <w:rFonts w:eastAsia="楷体"/>
        </w:rPr>
        <w:t>条所述桥面板。模型安装和尺寸检查操作由各队自行完成，赛会人员负责监督、标定测量仪器和记录，尺寸检查结束，参赛队员将模型和支座竹板</w:t>
      </w:r>
      <w:r>
        <w:rPr>
          <w:rFonts w:eastAsia="楷体"/>
        </w:rPr>
        <w:t>b</w:t>
      </w:r>
      <w:r>
        <w:rPr>
          <w:rFonts w:eastAsia="楷体"/>
        </w:rPr>
        <w:t>从加载台上取下，摆放到指定位置。如在此过程中出现模型损坏，不得对模型进行修补。</w:t>
      </w:r>
    </w:p>
    <w:p w:rsidR="00DE34A4" w:rsidRDefault="00DE34A4" w:rsidP="00DE34A4">
      <w:pPr>
        <w:pStyle w:val="1"/>
        <w:numPr>
          <w:ilvl w:val="0"/>
          <w:numId w:val="3"/>
        </w:numPr>
        <w:spacing w:before="156" w:after="156" w:line="240" w:lineRule="auto"/>
        <w:ind w:left="0" w:firstLine="0"/>
        <w:rPr>
          <w:rFonts w:eastAsia="宋体"/>
          <w:sz w:val="32"/>
          <w:szCs w:val="32"/>
        </w:rPr>
      </w:pPr>
      <w:r>
        <w:rPr>
          <w:rFonts w:eastAsia="宋体"/>
          <w:sz w:val="32"/>
          <w:szCs w:val="32"/>
        </w:rPr>
        <w:t>加载测试过程</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加载准备</w:t>
      </w:r>
    </w:p>
    <w:p w:rsidR="00DE34A4" w:rsidRDefault="00DE34A4" w:rsidP="00DE34A4">
      <w:pPr>
        <w:spacing w:line="360" w:lineRule="auto"/>
        <w:ind w:firstLineChars="200" w:firstLine="440"/>
        <w:jc w:val="both"/>
        <w:rPr>
          <w:rFonts w:eastAsia="楷体"/>
        </w:rPr>
      </w:pPr>
      <w:r>
        <w:rPr>
          <w:rFonts w:eastAsia="楷体"/>
        </w:rPr>
        <w:t>得到入场指令后，参赛队员手持支座竹板</w:t>
      </w:r>
      <w:r>
        <w:rPr>
          <w:rFonts w:eastAsia="楷体"/>
        </w:rPr>
        <w:t>b</w:t>
      </w:r>
      <w:r>
        <w:rPr>
          <w:rFonts w:eastAsia="楷体"/>
        </w:rPr>
        <w:t>，将模型放到加载承台上（</w:t>
      </w:r>
      <w:r>
        <w:rPr>
          <w:rFonts w:eastAsia="楷体"/>
          <w:b/>
          <w:bCs/>
        </w:rPr>
        <w:t>队员进入加载区域开始计时</w:t>
      </w:r>
      <w:r>
        <w:rPr>
          <w:rFonts w:eastAsia="楷体"/>
        </w:rPr>
        <w:t>），调整支座竹板</w:t>
      </w:r>
      <w:r>
        <w:rPr>
          <w:rFonts w:eastAsia="楷体"/>
        </w:rPr>
        <w:t>b</w:t>
      </w:r>
      <w:r>
        <w:rPr>
          <w:rFonts w:eastAsia="楷体"/>
        </w:rPr>
        <w:t>位置，将支座竹板</w:t>
      </w:r>
      <w:r>
        <w:rPr>
          <w:rFonts w:eastAsia="楷体"/>
        </w:rPr>
        <w:t>b</w:t>
      </w:r>
      <w:r>
        <w:rPr>
          <w:rFonts w:eastAsia="楷体"/>
        </w:rPr>
        <w:t>和模型两端固定在加载台上（含钢夹板固定拉索等），铺设桥面板，在桥岸将牵引绳两端部（已打结）与每辆小车前后连接，摆正小车出发位置，调整好撞击小球滑道角度</w:t>
      </w:r>
      <w:r>
        <w:rPr>
          <w:rFonts w:eastAsia="楷体"/>
          <w:b/>
          <w:bCs/>
          <w:sz w:val="21"/>
          <w:szCs w:val="21"/>
        </w:rPr>
        <w:t>α</w:t>
      </w:r>
      <w:r>
        <w:rPr>
          <w:rFonts w:eastAsia="楷体"/>
        </w:rPr>
        <w:t>和高度（关闭此高度小球阀门），通过开关电源测试光幕位移计是否正常工作，测试结束后关闭光幕位移计。如在此过程中出现模型损坏，不得对模型进行修补。</w:t>
      </w:r>
      <w:r>
        <w:rPr>
          <w:rFonts w:eastAsia="楷体"/>
          <w:b/>
          <w:bCs/>
        </w:rPr>
        <w:t>加载准备时间不得超过</w:t>
      </w:r>
      <w:r>
        <w:rPr>
          <w:rFonts w:eastAsia="楷体"/>
          <w:b/>
          <w:bCs/>
        </w:rPr>
        <w:t>4</w:t>
      </w:r>
      <w:r>
        <w:rPr>
          <w:rFonts w:eastAsia="楷体"/>
          <w:b/>
          <w:bCs/>
        </w:rPr>
        <w:t>分钟</w:t>
      </w:r>
      <w:r>
        <w:rPr>
          <w:rFonts w:eastAsia="楷体"/>
        </w:rPr>
        <w:t>。以上加载准备过程由各队自行完成，赛会人员负责监督和记录。</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bookmarkStart w:id="19" w:name="_Ref35702311"/>
      <w:bookmarkStart w:id="20" w:name="_Ref28685454"/>
      <w:r>
        <w:rPr>
          <w:rFonts w:ascii="Times New Roman" w:hAnsi="Times New Roman"/>
          <w:sz w:val="28"/>
          <w:szCs w:val="28"/>
        </w:rPr>
        <w:t>桥梁挠度测量</w:t>
      </w:r>
      <w:bookmarkEnd w:id="19"/>
      <w:bookmarkEnd w:id="20"/>
      <w:r>
        <w:rPr>
          <w:rFonts w:ascii="Times New Roman" w:hAnsi="Times New Roman"/>
          <w:sz w:val="28"/>
          <w:szCs w:val="28"/>
        </w:rPr>
        <w:t>及刚度要求</w:t>
      </w:r>
    </w:p>
    <w:p w:rsidR="00DE34A4" w:rsidRDefault="00DE34A4" w:rsidP="00DE34A4">
      <w:pPr>
        <w:pStyle w:val="a7"/>
        <w:widowControl w:val="0"/>
        <w:spacing w:line="360" w:lineRule="auto"/>
        <w:ind w:firstLine="440"/>
        <w:jc w:val="both"/>
        <w:rPr>
          <w:rFonts w:eastAsia="楷体"/>
        </w:rPr>
      </w:pPr>
      <w:r>
        <w:rPr>
          <w:rFonts w:eastAsia="楷体"/>
        </w:rPr>
        <w:t>第二级加载前打开光幕位移计，在</w:t>
      </w:r>
      <w:r>
        <w:rPr>
          <w:rFonts w:eastAsia="楷体"/>
        </w:rPr>
        <w:t>A</w:t>
      </w:r>
      <w:r>
        <w:rPr>
          <w:rFonts w:eastAsia="楷体"/>
        </w:rPr>
        <w:t>、</w:t>
      </w:r>
      <w:r>
        <w:rPr>
          <w:rFonts w:eastAsia="楷体"/>
        </w:rPr>
        <w:t>B</w:t>
      </w:r>
      <w:r>
        <w:rPr>
          <w:rFonts w:eastAsia="楷体"/>
        </w:rPr>
        <w:t>桥岸处让光幕位移计发射的红外线光穿过小车位移挡板内孔中心高度处，</w:t>
      </w:r>
      <w:r>
        <w:rPr>
          <w:rFonts w:eastAsia="楷体"/>
          <w:b/>
          <w:bCs/>
        </w:rPr>
        <w:t>小车行驶相对桥岸处桥面板标高上下浮动位移超过</w:t>
      </w:r>
      <w:r>
        <w:rPr>
          <w:rFonts w:eastAsia="楷体"/>
          <w:b/>
          <w:bCs/>
        </w:rPr>
        <w:t>15mm</w:t>
      </w:r>
      <w:r>
        <w:rPr>
          <w:rFonts w:eastAsia="楷体"/>
        </w:rPr>
        <w:t>，声光报警器会自动报警。第二级和第三级加载根据位移超限声光报警情况扣分或记为加载失败。</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bookmarkStart w:id="21" w:name="_Ref28685732"/>
      <w:r>
        <w:rPr>
          <w:rFonts w:ascii="Times New Roman" w:hAnsi="Times New Roman"/>
          <w:sz w:val="28"/>
          <w:szCs w:val="28"/>
        </w:rPr>
        <w:t>具体加载步骤</w:t>
      </w:r>
      <w:bookmarkEnd w:id="21"/>
    </w:p>
    <w:p w:rsidR="00DE34A4" w:rsidRDefault="00DE34A4" w:rsidP="00DE34A4">
      <w:pPr>
        <w:ind w:firstLine="482"/>
        <w:rPr>
          <w:rFonts w:eastAsia="楷体"/>
        </w:rPr>
      </w:pPr>
      <w:r>
        <w:rPr>
          <w:rFonts w:eastAsia="楷体"/>
          <w:b/>
          <w:bCs/>
        </w:rPr>
        <w:t>有参赛队员进入加载区域，开始计时</w:t>
      </w:r>
      <w:r>
        <w:rPr>
          <w:rFonts w:eastAsia="楷体"/>
        </w:rPr>
        <w:t>。分三级进行加载，加载由参赛队员完成，</w:t>
      </w:r>
      <w:r>
        <w:rPr>
          <w:rFonts w:eastAsia="楷体"/>
          <w:b/>
          <w:bCs/>
        </w:rPr>
        <w:t>整个加载过程需在</w:t>
      </w:r>
      <w:r>
        <w:rPr>
          <w:rFonts w:eastAsia="楷体"/>
          <w:b/>
          <w:bCs/>
        </w:rPr>
        <w:t>5</w:t>
      </w:r>
      <w:r>
        <w:rPr>
          <w:rFonts w:eastAsia="楷体"/>
          <w:b/>
          <w:bCs/>
        </w:rPr>
        <w:t>分钟内完成</w:t>
      </w:r>
      <w:r>
        <w:rPr>
          <w:rFonts w:eastAsia="楷体"/>
        </w:rPr>
        <w:t>。在整个加载过程中禁止小车不按车道或跨车道行驶。</w:t>
      </w:r>
    </w:p>
    <w:p w:rsidR="00DE34A4" w:rsidRDefault="00DE34A4" w:rsidP="00DE34A4">
      <w:pPr>
        <w:pStyle w:val="a7"/>
        <w:widowControl w:val="0"/>
        <w:numPr>
          <w:ilvl w:val="0"/>
          <w:numId w:val="9"/>
        </w:numPr>
        <w:spacing w:line="360" w:lineRule="auto"/>
        <w:ind w:left="420" w:firstLineChars="0"/>
        <w:rPr>
          <w:rFonts w:eastAsia="楷体"/>
        </w:rPr>
      </w:pPr>
      <w:r>
        <w:rPr>
          <w:rFonts w:eastAsia="楷体"/>
        </w:rPr>
        <w:t>第一级加载，按赛前抽签确定的第一级小车加载重量，将砝码放入一辆小车车厢内，小车按统一抽签确定的车道</w:t>
      </w:r>
      <w:r>
        <w:rPr>
          <w:rFonts w:eastAsia="楷体"/>
          <w:b/>
          <w:bCs/>
        </w:rPr>
        <w:t>从</w:t>
      </w:r>
      <w:r>
        <w:rPr>
          <w:rFonts w:eastAsia="楷体"/>
          <w:b/>
          <w:bCs/>
        </w:rPr>
        <w:t>A</w:t>
      </w:r>
      <w:r>
        <w:rPr>
          <w:rFonts w:eastAsia="楷体"/>
          <w:b/>
          <w:bCs/>
        </w:rPr>
        <w:t>桥岸出发</w:t>
      </w:r>
      <w:r>
        <w:rPr>
          <w:rFonts w:eastAsia="楷体"/>
        </w:rPr>
        <w:t>，在</w:t>
      </w:r>
      <w:r>
        <w:rPr>
          <w:rFonts w:eastAsia="楷体"/>
          <w:b/>
          <w:bCs/>
        </w:rPr>
        <w:t>J</w:t>
      </w:r>
      <w:r>
        <w:rPr>
          <w:rFonts w:eastAsia="楷体"/>
          <w:b/>
          <w:bCs/>
          <w:vertAlign w:val="subscript"/>
        </w:rPr>
        <w:t>2</w:t>
      </w:r>
      <w:r>
        <w:rPr>
          <w:rFonts w:eastAsia="楷体"/>
          <w:b/>
          <w:bCs/>
        </w:rPr>
        <w:t>减速带处</w:t>
      </w:r>
      <w:r>
        <w:rPr>
          <w:rFonts w:eastAsia="楷体"/>
        </w:rPr>
        <w:t>区域（即减速带位于小车前后轮之间）停稳后，队员举手示意开始计时，</w:t>
      </w:r>
      <w:r>
        <w:rPr>
          <w:rFonts w:eastAsia="楷体"/>
        </w:rPr>
        <w:t>10</w:t>
      </w:r>
      <w:r>
        <w:rPr>
          <w:rFonts w:eastAsia="楷体"/>
        </w:rPr>
        <w:t>秒计时结束，然后继续行驶</w:t>
      </w:r>
      <w:r>
        <w:rPr>
          <w:rFonts w:eastAsia="楷体"/>
          <w:b/>
          <w:bCs/>
        </w:rPr>
        <w:t>至</w:t>
      </w:r>
      <w:r>
        <w:rPr>
          <w:rFonts w:eastAsia="楷体"/>
          <w:b/>
          <w:bCs/>
        </w:rPr>
        <w:t>B</w:t>
      </w:r>
      <w:r>
        <w:rPr>
          <w:rFonts w:eastAsia="楷体"/>
          <w:b/>
          <w:bCs/>
        </w:rPr>
        <w:t>桥岸</w:t>
      </w:r>
      <w:r>
        <w:rPr>
          <w:rFonts w:eastAsia="楷体"/>
        </w:rPr>
        <w:t>（后轮通过桥岸处</w:t>
      </w:r>
      <w:r>
        <w:rPr>
          <w:rFonts w:eastAsia="楷体"/>
        </w:rPr>
        <w:t>J</w:t>
      </w:r>
      <w:r>
        <w:rPr>
          <w:rFonts w:eastAsia="楷体"/>
          <w:vertAlign w:val="subscript"/>
        </w:rPr>
        <w:t>4</w:t>
      </w:r>
      <w:r>
        <w:rPr>
          <w:rFonts w:eastAsia="楷体"/>
        </w:rPr>
        <w:t>减速带），则第一级加载成功。</w:t>
      </w:r>
    </w:p>
    <w:p w:rsidR="00DE34A4" w:rsidRDefault="00DE34A4" w:rsidP="00DE34A4">
      <w:pPr>
        <w:pStyle w:val="a7"/>
        <w:widowControl w:val="0"/>
        <w:numPr>
          <w:ilvl w:val="0"/>
          <w:numId w:val="9"/>
        </w:numPr>
        <w:spacing w:line="360" w:lineRule="auto"/>
        <w:ind w:left="420" w:firstLineChars="0"/>
        <w:jc w:val="both"/>
        <w:rPr>
          <w:rFonts w:eastAsia="楷体"/>
        </w:rPr>
      </w:pPr>
      <w:r>
        <w:rPr>
          <w:rFonts w:eastAsia="楷体"/>
        </w:rPr>
        <w:lastRenderedPageBreak/>
        <w:t>第二级加载，按照赛前抽签确定的单辆小车加载重量（不小于第一级载重），将砝码放入两辆小车车厢内，保持第一级加载的小车车道不变，增加统一抽签确定的第二辆小车车道，</w:t>
      </w:r>
      <w:r>
        <w:rPr>
          <w:rFonts w:eastAsia="楷体"/>
          <w:b/>
          <w:bCs/>
        </w:rPr>
        <w:t>打开光幕位移计</w:t>
      </w:r>
      <w:r>
        <w:rPr>
          <w:rFonts w:eastAsia="楷体"/>
        </w:rPr>
        <w:t>，两辆小车</w:t>
      </w:r>
      <w:r>
        <w:rPr>
          <w:rFonts w:eastAsia="楷体"/>
          <w:b/>
          <w:bCs/>
        </w:rPr>
        <w:t>从</w:t>
      </w:r>
      <w:r>
        <w:rPr>
          <w:rFonts w:eastAsia="楷体"/>
          <w:b/>
          <w:bCs/>
        </w:rPr>
        <w:t>B</w:t>
      </w:r>
      <w:r>
        <w:rPr>
          <w:rFonts w:eastAsia="楷体"/>
          <w:b/>
          <w:bCs/>
        </w:rPr>
        <w:t>桥岸出发</w:t>
      </w:r>
      <w:r>
        <w:rPr>
          <w:rFonts w:eastAsia="楷体"/>
        </w:rPr>
        <w:t>，分别行驶停靠到</w:t>
      </w:r>
      <w:r>
        <w:rPr>
          <w:rFonts w:eastAsia="楷体"/>
          <w:b/>
          <w:bCs/>
        </w:rPr>
        <w:t>J</w:t>
      </w:r>
      <w:r>
        <w:rPr>
          <w:rFonts w:eastAsia="楷体"/>
          <w:b/>
          <w:bCs/>
          <w:vertAlign w:val="subscript"/>
        </w:rPr>
        <w:t>2</w:t>
      </w:r>
      <w:r>
        <w:rPr>
          <w:rFonts w:eastAsia="楷体"/>
          <w:b/>
          <w:bCs/>
        </w:rPr>
        <w:t>减速带</w:t>
      </w:r>
      <w:r>
        <w:rPr>
          <w:rFonts w:eastAsia="楷体"/>
        </w:rPr>
        <w:t>区域和</w:t>
      </w:r>
      <w:r>
        <w:rPr>
          <w:rFonts w:eastAsia="楷体"/>
          <w:b/>
          <w:bCs/>
        </w:rPr>
        <w:t>J</w:t>
      </w:r>
      <w:r>
        <w:rPr>
          <w:rFonts w:eastAsia="楷体"/>
          <w:b/>
          <w:bCs/>
          <w:vertAlign w:val="subscript"/>
        </w:rPr>
        <w:t>3</w:t>
      </w:r>
      <w:r>
        <w:rPr>
          <w:rFonts w:eastAsia="楷体"/>
          <w:b/>
          <w:bCs/>
        </w:rPr>
        <w:t>减速带</w:t>
      </w:r>
      <w:r>
        <w:rPr>
          <w:rFonts w:eastAsia="楷体"/>
        </w:rPr>
        <w:t>区域（减速带位于小车前后轮之间），两车均停稳后，队员举手示意开始计时，</w:t>
      </w:r>
      <w:r>
        <w:rPr>
          <w:rFonts w:eastAsia="楷体"/>
        </w:rPr>
        <w:t>10</w:t>
      </w:r>
      <w:r>
        <w:rPr>
          <w:rFonts w:eastAsia="楷体"/>
        </w:rPr>
        <w:t>秒计时结束，小车继续行驶</w:t>
      </w:r>
      <w:r>
        <w:rPr>
          <w:rFonts w:eastAsia="楷体"/>
          <w:b/>
          <w:bCs/>
        </w:rPr>
        <w:t>至</w:t>
      </w:r>
      <w:r>
        <w:rPr>
          <w:rFonts w:eastAsia="楷体"/>
          <w:b/>
          <w:bCs/>
        </w:rPr>
        <w:t>A</w:t>
      </w:r>
      <w:r>
        <w:rPr>
          <w:rFonts w:eastAsia="楷体"/>
          <w:b/>
          <w:bCs/>
        </w:rPr>
        <w:t>桥岸</w:t>
      </w:r>
      <w:r>
        <w:rPr>
          <w:rFonts w:eastAsia="楷体"/>
        </w:rPr>
        <w:t>（后轮通过桥岸处</w:t>
      </w:r>
      <w:r>
        <w:rPr>
          <w:rFonts w:eastAsia="楷体"/>
        </w:rPr>
        <w:t>J</w:t>
      </w:r>
      <w:r>
        <w:rPr>
          <w:rFonts w:eastAsia="楷体"/>
          <w:vertAlign w:val="subscript"/>
        </w:rPr>
        <w:t>1</w:t>
      </w:r>
      <w:r>
        <w:rPr>
          <w:rFonts w:eastAsia="楷体"/>
        </w:rPr>
        <w:t>减速带），整个过程光幕</w:t>
      </w:r>
      <w:r>
        <w:rPr>
          <w:rFonts w:eastAsia="楷体"/>
          <w:b/>
          <w:bCs/>
        </w:rPr>
        <w:t>声光报警器不报警</w:t>
      </w:r>
      <w:r>
        <w:rPr>
          <w:rFonts w:eastAsia="楷体"/>
        </w:rPr>
        <w:t>（挠度不超限），则第二级加载成功。</w:t>
      </w:r>
    </w:p>
    <w:p w:rsidR="00DE34A4" w:rsidRDefault="00DE34A4" w:rsidP="00DE34A4">
      <w:pPr>
        <w:pStyle w:val="a7"/>
        <w:widowControl w:val="0"/>
        <w:numPr>
          <w:ilvl w:val="0"/>
          <w:numId w:val="9"/>
        </w:numPr>
        <w:spacing w:line="360" w:lineRule="auto"/>
        <w:ind w:left="420" w:firstLineChars="0"/>
        <w:rPr>
          <w:rFonts w:eastAsia="楷体"/>
        </w:rPr>
      </w:pPr>
      <w:r>
        <w:rPr>
          <w:rFonts w:eastAsia="楷体"/>
        </w:rPr>
        <w:t>第三级加载，将第二级加载的两辆小车载重和车道保持不变，从第二级加载结束后的</w:t>
      </w:r>
      <w:r>
        <w:rPr>
          <w:rFonts w:eastAsia="楷体"/>
          <w:b/>
          <w:bCs/>
        </w:rPr>
        <w:t>A</w:t>
      </w:r>
      <w:r>
        <w:rPr>
          <w:rFonts w:eastAsia="楷体"/>
          <w:b/>
          <w:bCs/>
        </w:rPr>
        <w:t>桥岸出发</w:t>
      </w:r>
      <w:r>
        <w:rPr>
          <w:rFonts w:eastAsia="楷体"/>
        </w:rPr>
        <w:t>，均行驶至</w:t>
      </w:r>
      <w:r>
        <w:rPr>
          <w:rFonts w:eastAsia="楷体"/>
          <w:b/>
          <w:bCs/>
        </w:rPr>
        <w:t>J</w:t>
      </w:r>
      <w:r>
        <w:rPr>
          <w:rFonts w:eastAsia="楷体"/>
          <w:b/>
          <w:bCs/>
          <w:vertAlign w:val="subscript"/>
        </w:rPr>
        <w:t>2</w:t>
      </w:r>
      <w:r>
        <w:rPr>
          <w:rFonts w:eastAsia="楷体"/>
          <w:b/>
          <w:bCs/>
        </w:rPr>
        <w:t>减速带</w:t>
      </w:r>
      <w:r>
        <w:rPr>
          <w:rFonts w:eastAsia="楷体"/>
        </w:rPr>
        <w:t>区域（减速带位于小车前后轮之间），两车均停稳后，参赛队员手持撞击小球放到统一抽取的初始高度处，</w:t>
      </w:r>
      <w:r>
        <w:rPr>
          <w:rFonts w:eastAsia="楷体"/>
          <w:b/>
          <w:bCs/>
        </w:rPr>
        <w:t>打开小球阀门</w:t>
      </w:r>
      <w:r>
        <w:rPr>
          <w:rFonts w:eastAsia="楷体"/>
        </w:rPr>
        <w:t>，小球沿滑轨滑落，正对着</w:t>
      </w:r>
      <w:r>
        <w:rPr>
          <w:rFonts w:eastAsia="楷体"/>
        </w:rPr>
        <w:fldChar w:fldCharType="begin"/>
      </w:r>
      <w:r>
        <w:rPr>
          <w:rFonts w:eastAsia="楷体"/>
        </w:rPr>
        <w:instrText xml:space="preserve"> = 3 \* GB3 </w:instrText>
      </w:r>
      <w:r>
        <w:rPr>
          <w:rFonts w:eastAsia="楷体"/>
        </w:rPr>
        <w:fldChar w:fldCharType="separate"/>
      </w:r>
      <w:r>
        <w:rPr>
          <w:rFonts w:ascii="宋体" w:eastAsia="宋体" w:hAnsi="宋体" w:cs="宋体" w:hint="eastAsia"/>
        </w:rPr>
        <w:t>③</w:t>
      </w:r>
      <w:r>
        <w:rPr>
          <w:rFonts w:eastAsia="楷体"/>
        </w:rPr>
        <w:fldChar w:fldCharType="end"/>
      </w:r>
      <w:r>
        <w:rPr>
          <w:rFonts w:eastAsia="楷体"/>
        </w:rPr>
        <w:t>轴线桥墩平面形心点进行撞击加载，撞击结束，停留</w:t>
      </w:r>
      <w:r>
        <w:rPr>
          <w:rFonts w:eastAsia="楷体"/>
        </w:rPr>
        <w:t>10</w:t>
      </w:r>
      <w:r>
        <w:rPr>
          <w:rFonts w:eastAsia="楷体"/>
        </w:rPr>
        <w:t>秒，</w:t>
      </w:r>
      <w:r>
        <w:rPr>
          <w:rFonts w:eastAsia="楷体"/>
        </w:rPr>
        <w:t>10</w:t>
      </w:r>
      <w:r>
        <w:rPr>
          <w:rFonts w:eastAsia="楷体"/>
        </w:rPr>
        <w:t>秒计时结束，小车继续行驶</w:t>
      </w:r>
      <w:r>
        <w:rPr>
          <w:rFonts w:eastAsia="楷体"/>
          <w:b/>
          <w:bCs/>
        </w:rPr>
        <w:t>至</w:t>
      </w:r>
      <w:r>
        <w:rPr>
          <w:rFonts w:eastAsia="楷体"/>
          <w:b/>
          <w:bCs/>
        </w:rPr>
        <w:t>B</w:t>
      </w:r>
      <w:r>
        <w:rPr>
          <w:rFonts w:eastAsia="楷体"/>
          <w:b/>
          <w:bCs/>
        </w:rPr>
        <w:t>桥岸</w:t>
      </w:r>
      <w:r>
        <w:rPr>
          <w:rFonts w:eastAsia="楷体"/>
        </w:rPr>
        <w:t>（后轮通过桥岸处</w:t>
      </w:r>
      <w:r>
        <w:rPr>
          <w:rFonts w:eastAsia="楷体"/>
        </w:rPr>
        <w:t>J</w:t>
      </w:r>
      <w:r>
        <w:rPr>
          <w:rFonts w:eastAsia="楷体"/>
          <w:vertAlign w:val="subscript"/>
        </w:rPr>
        <w:t>4</w:t>
      </w:r>
      <w:r>
        <w:rPr>
          <w:rFonts w:eastAsia="楷体"/>
        </w:rPr>
        <w:t>减速带）停靠，整个过程光幕</w:t>
      </w:r>
      <w:r>
        <w:rPr>
          <w:rFonts w:eastAsia="楷体"/>
          <w:b/>
          <w:bCs/>
        </w:rPr>
        <w:t>声光报警器不报警</w:t>
      </w:r>
      <w:r>
        <w:rPr>
          <w:rFonts w:eastAsia="楷体"/>
        </w:rPr>
        <w:t>（挠度不超限），第三级加载成功，关闭光幕位移计，取出小车内砝码，松开小车北端（</w:t>
      </w:r>
      <w:r>
        <w:rPr>
          <w:rFonts w:eastAsia="楷体"/>
        </w:rPr>
        <w:t>A</w:t>
      </w:r>
      <w:r>
        <w:rPr>
          <w:rFonts w:eastAsia="楷体"/>
        </w:rPr>
        <w:t>桥岸方向）牵引绳，取下桥面板到指定位置，卸下模型（含支座竹板</w:t>
      </w:r>
      <w:r>
        <w:rPr>
          <w:rFonts w:eastAsia="楷体"/>
        </w:rPr>
        <w:t>b</w:t>
      </w:r>
      <w:r>
        <w:rPr>
          <w:rFonts w:eastAsia="楷体"/>
        </w:rPr>
        <w:t>），将加载区域设备整理到加载准备前（入场前）的位置，</w:t>
      </w:r>
      <w:r>
        <w:rPr>
          <w:rFonts w:eastAsia="楷体"/>
          <w:b/>
          <w:bCs/>
        </w:rPr>
        <w:t>全部队员携带模型离开加载区域，加载计时结束</w:t>
      </w:r>
      <w:r>
        <w:rPr>
          <w:rFonts w:eastAsia="楷体"/>
        </w:rPr>
        <w:t>，队员将加载完成的模型存放到指定位置。</w:t>
      </w:r>
    </w:p>
    <w:p w:rsidR="00DE34A4" w:rsidRDefault="00DE34A4" w:rsidP="00DE34A4">
      <w:pPr>
        <w:pStyle w:val="1"/>
        <w:numPr>
          <w:ilvl w:val="0"/>
          <w:numId w:val="3"/>
        </w:numPr>
        <w:spacing w:before="156" w:after="156" w:line="240" w:lineRule="auto"/>
        <w:ind w:left="0" w:firstLine="0"/>
        <w:rPr>
          <w:rFonts w:eastAsia="宋体"/>
          <w:sz w:val="32"/>
          <w:szCs w:val="32"/>
        </w:rPr>
      </w:pPr>
      <w:r>
        <w:rPr>
          <w:rFonts w:eastAsia="宋体"/>
          <w:sz w:val="32"/>
          <w:szCs w:val="32"/>
        </w:rPr>
        <w:t>标准</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模型违规标准</w:t>
      </w:r>
    </w:p>
    <w:p w:rsidR="00DE34A4" w:rsidRDefault="00DE34A4" w:rsidP="00DE34A4">
      <w:pPr>
        <w:rPr>
          <w:rFonts w:eastAsia="楷体"/>
        </w:rPr>
      </w:pPr>
      <w:r>
        <w:rPr>
          <w:rFonts w:eastAsia="楷体"/>
        </w:rPr>
        <w:t>出现以下</w:t>
      </w:r>
      <w:r>
        <w:rPr>
          <w:rFonts w:eastAsia="楷体"/>
        </w:rPr>
        <w:t>7</w:t>
      </w:r>
      <w:r>
        <w:rPr>
          <w:rFonts w:eastAsia="楷体"/>
        </w:rPr>
        <w:t>种情况之一，判定违规，取消比赛资格：</w:t>
      </w:r>
    </w:p>
    <w:p w:rsidR="00DE34A4" w:rsidRDefault="00DE34A4" w:rsidP="00DE34A4">
      <w:pPr>
        <w:pStyle w:val="a7"/>
        <w:widowControl w:val="0"/>
        <w:numPr>
          <w:ilvl w:val="0"/>
          <w:numId w:val="10"/>
        </w:numPr>
        <w:spacing w:line="360" w:lineRule="auto"/>
        <w:ind w:left="420" w:firstLineChars="0"/>
        <w:rPr>
          <w:rFonts w:eastAsia="楷体"/>
        </w:rPr>
      </w:pPr>
      <w:r>
        <w:rPr>
          <w:rFonts w:eastAsia="楷体"/>
        </w:rPr>
        <w:t>不满足</w:t>
      </w:r>
      <w:r>
        <w:rPr>
          <w:rFonts w:eastAsia="楷体"/>
        </w:rPr>
        <w:t>2.2.1</w:t>
      </w:r>
      <w:r>
        <w:rPr>
          <w:rFonts w:eastAsia="楷体"/>
        </w:rPr>
        <w:t>条关于模型与桥岸接触范围的相关要求。</w:t>
      </w:r>
    </w:p>
    <w:p w:rsidR="00DE34A4" w:rsidRDefault="00DE34A4" w:rsidP="00DE34A4">
      <w:pPr>
        <w:pStyle w:val="a7"/>
        <w:widowControl w:val="0"/>
        <w:numPr>
          <w:ilvl w:val="0"/>
          <w:numId w:val="10"/>
        </w:numPr>
        <w:spacing w:line="360" w:lineRule="auto"/>
        <w:ind w:left="420" w:firstLineChars="0"/>
        <w:rPr>
          <w:rFonts w:eastAsia="楷体"/>
        </w:rPr>
      </w:pPr>
      <w:r>
        <w:rPr>
          <w:rFonts w:eastAsia="楷体"/>
        </w:rPr>
        <w:t>不满足</w:t>
      </w:r>
      <w:r>
        <w:rPr>
          <w:rFonts w:eastAsia="楷体"/>
        </w:rPr>
        <w:fldChar w:fldCharType="begin"/>
      </w:r>
      <w:r>
        <w:rPr>
          <w:rFonts w:eastAsia="楷体"/>
        </w:rPr>
        <w:instrText xml:space="preserve"> REF _Ref35939026 \r \h  \* MERGEFORMAT </w:instrText>
      </w:r>
      <w:r>
        <w:rPr>
          <w:rFonts w:eastAsia="楷体"/>
        </w:rPr>
      </w:r>
      <w:r>
        <w:rPr>
          <w:rFonts w:eastAsia="楷体"/>
        </w:rPr>
        <w:fldChar w:fldCharType="separate"/>
      </w:r>
      <w:r>
        <w:rPr>
          <w:rFonts w:eastAsia="楷体"/>
        </w:rPr>
        <w:t>2.2.5</w:t>
      </w:r>
      <w:r>
        <w:rPr>
          <w:rFonts w:eastAsia="楷体"/>
        </w:rPr>
        <w:fldChar w:fldCharType="end"/>
      </w:r>
      <w:r>
        <w:rPr>
          <w:rFonts w:eastAsia="楷体"/>
        </w:rPr>
        <w:t>条关于模型与支座竹板接触范围或预安装固定在支座竹板</w:t>
      </w:r>
      <w:r>
        <w:rPr>
          <w:rFonts w:eastAsia="楷体"/>
        </w:rPr>
        <w:t>b</w:t>
      </w:r>
      <w:r>
        <w:rPr>
          <w:rFonts w:eastAsia="楷体"/>
        </w:rPr>
        <w:t>上后保持悬臂平衡的相关要求。</w:t>
      </w:r>
    </w:p>
    <w:p w:rsidR="00DE34A4" w:rsidRDefault="00DE34A4" w:rsidP="00DE34A4">
      <w:pPr>
        <w:pStyle w:val="a7"/>
        <w:widowControl w:val="0"/>
        <w:numPr>
          <w:ilvl w:val="0"/>
          <w:numId w:val="10"/>
        </w:numPr>
        <w:spacing w:line="360" w:lineRule="auto"/>
        <w:ind w:left="420" w:firstLineChars="0"/>
        <w:rPr>
          <w:rFonts w:eastAsia="楷体"/>
        </w:rPr>
      </w:pPr>
      <w:r>
        <w:rPr>
          <w:rFonts w:eastAsia="楷体"/>
        </w:rPr>
        <w:t>不满足</w:t>
      </w:r>
      <w:r>
        <w:rPr>
          <w:rFonts w:eastAsia="楷体"/>
        </w:rPr>
        <w:t>2.2.6</w:t>
      </w:r>
      <w:r>
        <w:rPr>
          <w:rFonts w:eastAsia="楷体"/>
        </w:rPr>
        <w:t>条关于模型尺寸要求规定。</w:t>
      </w:r>
    </w:p>
    <w:p w:rsidR="00DE34A4" w:rsidRDefault="00DE34A4" w:rsidP="00DE34A4">
      <w:pPr>
        <w:pStyle w:val="a7"/>
        <w:widowControl w:val="0"/>
        <w:numPr>
          <w:ilvl w:val="0"/>
          <w:numId w:val="10"/>
        </w:numPr>
        <w:spacing w:line="360" w:lineRule="auto"/>
        <w:ind w:left="420" w:firstLineChars="0"/>
        <w:rPr>
          <w:rFonts w:eastAsia="楷体"/>
        </w:rPr>
      </w:pPr>
      <w:r>
        <w:rPr>
          <w:rFonts w:eastAsia="楷体"/>
        </w:rPr>
        <w:t>不满足</w:t>
      </w:r>
      <w:r>
        <w:rPr>
          <w:rFonts w:eastAsia="楷体"/>
        </w:rPr>
        <w:t>5a</w:t>
      </w:r>
      <w:r>
        <w:rPr>
          <w:rFonts w:eastAsia="楷体"/>
        </w:rPr>
        <w:t>条关于模型材料使用的相关要求。</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bookmarkStart w:id="22" w:name="_Ref28685758"/>
      <w:r>
        <w:rPr>
          <w:rFonts w:ascii="Times New Roman" w:hAnsi="Times New Roman"/>
          <w:sz w:val="28"/>
          <w:szCs w:val="28"/>
        </w:rPr>
        <w:t>加载失效判定标准</w:t>
      </w:r>
      <w:bookmarkEnd w:id="22"/>
    </w:p>
    <w:p w:rsidR="00DE34A4" w:rsidRDefault="00DE34A4" w:rsidP="00DE34A4">
      <w:pPr>
        <w:spacing w:line="360" w:lineRule="auto"/>
        <w:ind w:firstLineChars="200" w:firstLine="440"/>
        <w:rPr>
          <w:rFonts w:eastAsia="楷体"/>
        </w:rPr>
      </w:pPr>
      <w:r>
        <w:rPr>
          <w:rFonts w:eastAsia="楷体"/>
        </w:rPr>
        <w:t>加载过程中出现以下</w:t>
      </w:r>
      <w:r>
        <w:rPr>
          <w:rFonts w:eastAsia="楷体"/>
        </w:rPr>
        <w:t>5</w:t>
      </w:r>
      <w:r>
        <w:rPr>
          <w:rFonts w:eastAsia="楷体"/>
        </w:rPr>
        <w:t>种情况之一，判定加载失效，终止加载，本级加载及以后级别加载成绩为零：</w:t>
      </w:r>
    </w:p>
    <w:p w:rsidR="00DE34A4" w:rsidRDefault="00DE34A4" w:rsidP="00DE34A4">
      <w:pPr>
        <w:pStyle w:val="a7"/>
        <w:widowControl w:val="0"/>
        <w:numPr>
          <w:ilvl w:val="0"/>
          <w:numId w:val="11"/>
        </w:numPr>
        <w:spacing w:line="360" w:lineRule="auto"/>
        <w:ind w:left="420" w:firstLineChars="0"/>
        <w:rPr>
          <w:rFonts w:eastAsia="楷体"/>
        </w:rPr>
      </w:pPr>
      <w:r>
        <w:rPr>
          <w:rFonts w:eastAsia="楷体"/>
        </w:rPr>
        <w:t>加载时发生结构倒塌或局部构件显著破坏导致加载车道不能通行载重小车。</w:t>
      </w:r>
    </w:p>
    <w:p w:rsidR="00DE34A4" w:rsidRDefault="00DE34A4" w:rsidP="00DE34A4">
      <w:pPr>
        <w:pStyle w:val="a7"/>
        <w:widowControl w:val="0"/>
        <w:numPr>
          <w:ilvl w:val="0"/>
          <w:numId w:val="11"/>
        </w:numPr>
        <w:spacing w:line="360" w:lineRule="auto"/>
        <w:ind w:left="420" w:firstLineChars="0"/>
        <w:rPr>
          <w:rFonts w:eastAsia="楷体"/>
        </w:rPr>
      </w:pPr>
      <w:r>
        <w:rPr>
          <w:rFonts w:eastAsia="楷体"/>
        </w:rPr>
        <w:lastRenderedPageBreak/>
        <w:t>加载时光幕声光报警器发出</w:t>
      </w:r>
      <w:r>
        <w:rPr>
          <w:rFonts w:eastAsia="楷体"/>
          <w:b/>
          <w:bCs/>
        </w:rPr>
        <w:t>持续报警声（持续</w:t>
      </w:r>
      <w:r>
        <w:rPr>
          <w:rFonts w:eastAsia="楷体"/>
          <w:b/>
          <w:bCs/>
        </w:rPr>
        <w:t>3</w:t>
      </w:r>
      <w:r>
        <w:rPr>
          <w:rFonts w:eastAsia="楷体"/>
          <w:b/>
          <w:bCs/>
        </w:rPr>
        <w:t>秒钟及以上）</w:t>
      </w:r>
      <w:r>
        <w:rPr>
          <w:rFonts w:eastAsia="楷体"/>
        </w:rPr>
        <w:t>，或任何一级加载时光幕声光报警器发出第</w:t>
      </w:r>
      <w:r>
        <w:rPr>
          <w:rFonts w:eastAsia="楷体"/>
        </w:rPr>
        <w:t>2</w:t>
      </w:r>
      <w:r>
        <w:rPr>
          <w:rFonts w:eastAsia="楷体"/>
        </w:rPr>
        <w:t>次报警声。</w:t>
      </w:r>
    </w:p>
    <w:p w:rsidR="00DE34A4" w:rsidRDefault="00DE34A4" w:rsidP="00DE34A4">
      <w:pPr>
        <w:pStyle w:val="a7"/>
        <w:widowControl w:val="0"/>
        <w:numPr>
          <w:ilvl w:val="0"/>
          <w:numId w:val="11"/>
        </w:numPr>
        <w:spacing w:line="360" w:lineRule="auto"/>
        <w:ind w:left="420" w:firstLineChars="0"/>
        <w:rPr>
          <w:rFonts w:eastAsia="楷体"/>
        </w:rPr>
      </w:pPr>
      <w:r>
        <w:rPr>
          <w:rFonts w:eastAsia="楷体"/>
        </w:rPr>
        <w:t>加载过程中队员手碰触模型或</w:t>
      </w:r>
      <w:r>
        <w:rPr>
          <w:rFonts w:eastAsia="楷体"/>
        </w:rPr>
        <w:t>J</w:t>
      </w:r>
      <w:r>
        <w:rPr>
          <w:rFonts w:eastAsia="楷体"/>
          <w:vertAlign w:val="subscript"/>
        </w:rPr>
        <w:t>1</w:t>
      </w:r>
      <w:r>
        <w:rPr>
          <w:rFonts w:eastAsia="楷体"/>
        </w:rPr>
        <w:t>至</w:t>
      </w:r>
      <w:r>
        <w:rPr>
          <w:rFonts w:eastAsia="楷体"/>
        </w:rPr>
        <w:t>J</w:t>
      </w:r>
      <w:r>
        <w:rPr>
          <w:rFonts w:eastAsia="楷体"/>
          <w:vertAlign w:val="subscript"/>
        </w:rPr>
        <w:t>4</w:t>
      </w:r>
      <w:r>
        <w:rPr>
          <w:rFonts w:eastAsia="楷体"/>
        </w:rPr>
        <w:t>减速带之间的桥面板（含全部减速带）。</w:t>
      </w:r>
    </w:p>
    <w:p w:rsidR="00DE34A4" w:rsidRDefault="00DE34A4" w:rsidP="00DE34A4">
      <w:pPr>
        <w:pStyle w:val="a7"/>
        <w:widowControl w:val="0"/>
        <w:numPr>
          <w:ilvl w:val="0"/>
          <w:numId w:val="11"/>
        </w:numPr>
        <w:spacing w:line="360" w:lineRule="auto"/>
        <w:ind w:left="420" w:firstLineChars="0"/>
        <w:rPr>
          <w:rFonts w:eastAsia="楷体"/>
        </w:rPr>
      </w:pPr>
      <w:r>
        <w:rPr>
          <w:rFonts w:eastAsia="楷体"/>
        </w:rPr>
        <w:t>加载过程中无论任何原因出现处于加载状态的小车车身触碰桥面以上结构或滑出行驶车道或悬空落地等现象。</w:t>
      </w:r>
    </w:p>
    <w:p w:rsidR="00DE34A4" w:rsidRDefault="00DE34A4" w:rsidP="00DE34A4">
      <w:pPr>
        <w:pStyle w:val="a7"/>
        <w:widowControl w:val="0"/>
        <w:numPr>
          <w:ilvl w:val="0"/>
          <w:numId w:val="11"/>
        </w:numPr>
        <w:spacing w:line="360" w:lineRule="auto"/>
        <w:ind w:left="420" w:firstLineChars="0"/>
        <w:rPr>
          <w:rFonts w:eastAsia="楷体"/>
        </w:rPr>
      </w:pPr>
      <w:r>
        <w:rPr>
          <w:rFonts w:eastAsia="楷体"/>
        </w:rPr>
        <w:t>评委认定不能继续加载的其他情况。</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加载测试停止标准</w:t>
      </w:r>
    </w:p>
    <w:p w:rsidR="00DE34A4" w:rsidRDefault="00DE34A4" w:rsidP="00DE34A4">
      <w:pPr>
        <w:ind w:firstLineChars="200" w:firstLine="440"/>
        <w:rPr>
          <w:rFonts w:eastAsia="楷体"/>
        </w:rPr>
      </w:pPr>
      <w:r>
        <w:rPr>
          <w:rFonts w:eastAsia="楷体"/>
        </w:rPr>
        <w:t>出现以下</w:t>
      </w:r>
      <w:r>
        <w:rPr>
          <w:rFonts w:eastAsia="楷体"/>
        </w:rPr>
        <w:t>3</w:t>
      </w:r>
      <w:r>
        <w:rPr>
          <w:rFonts w:eastAsia="楷体"/>
        </w:rPr>
        <w:t>种情况之一，既可判定加载结束。</w:t>
      </w:r>
    </w:p>
    <w:p w:rsidR="00DE34A4" w:rsidRDefault="00DE34A4" w:rsidP="00DE34A4">
      <w:pPr>
        <w:pStyle w:val="a7"/>
        <w:widowControl w:val="0"/>
        <w:numPr>
          <w:ilvl w:val="0"/>
          <w:numId w:val="12"/>
        </w:numPr>
        <w:spacing w:line="360" w:lineRule="auto"/>
        <w:ind w:left="420" w:firstLineChars="0"/>
        <w:rPr>
          <w:rFonts w:eastAsia="楷体"/>
        </w:rPr>
      </w:pPr>
      <w:r>
        <w:rPr>
          <w:rFonts w:eastAsia="楷体"/>
        </w:rPr>
        <w:t>加载时间超出</w:t>
      </w:r>
      <w:r>
        <w:rPr>
          <w:rFonts w:eastAsia="楷体"/>
        </w:rPr>
        <w:t>8.3</w:t>
      </w:r>
      <w:r>
        <w:rPr>
          <w:rFonts w:eastAsia="楷体"/>
        </w:rPr>
        <w:t>条关于整个加载过程需在</w:t>
      </w:r>
      <w:r>
        <w:rPr>
          <w:rFonts w:eastAsia="楷体"/>
        </w:rPr>
        <w:t>5</w:t>
      </w:r>
      <w:r>
        <w:rPr>
          <w:rFonts w:eastAsia="楷体"/>
        </w:rPr>
        <w:t>分钟内完成的规定。</w:t>
      </w:r>
    </w:p>
    <w:p w:rsidR="00DE34A4" w:rsidRDefault="00DE34A4" w:rsidP="00DE34A4">
      <w:pPr>
        <w:pStyle w:val="a7"/>
        <w:widowControl w:val="0"/>
        <w:numPr>
          <w:ilvl w:val="0"/>
          <w:numId w:val="12"/>
        </w:numPr>
        <w:spacing w:line="360" w:lineRule="auto"/>
        <w:ind w:left="420" w:firstLineChars="0"/>
        <w:rPr>
          <w:rFonts w:eastAsia="楷体"/>
        </w:rPr>
      </w:pPr>
      <w:r>
        <w:rPr>
          <w:rFonts w:eastAsia="楷体"/>
        </w:rPr>
        <w:t>满足</w:t>
      </w:r>
      <w:r>
        <w:rPr>
          <w:rFonts w:eastAsia="楷体"/>
        </w:rPr>
        <w:t>9.2</w:t>
      </w:r>
      <w:r>
        <w:rPr>
          <w:rFonts w:eastAsia="楷体"/>
        </w:rPr>
        <w:t>条关于加载失效的标准。</w:t>
      </w:r>
    </w:p>
    <w:p w:rsidR="00DE34A4" w:rsidRDefault="00DE34A4" w:rsidP="00DE34A4">
      <w:pPr>
        <w:pStyle w:val="a7"/>
        <w:widowControl w:val="0"/>
        <w:numPr>
          <w:ilvl w:val="0"/>
          <w:numId w:val="12"/>
        </w:numPr>
        <w:spacing w:line="360" w:lineRule="auto"/>
        <w:ind w:left="420" w:firstLineChars="0"/>
        <w:rPr>
          <w:rFonts w:eastAsia="楷体"/>
        </w:rPr>
      </w:pPr>
      <w:r>
        <w:rPr>
          <w:rFonts w:eastAsia="楷体"/>
        </w:rPr>
        <w:t>满足</w:t>
      </w:r>
      <w:r>
        <w:rPr>
          <w:rFonts w:eastAsia="楷体"/>
        </w:rPr>
        <w:t>13.2e</w:t>
      </w:r>
      <w:r>
        <w:rPr>
          <w:rFonts w:eastAsia="楷体"/>
        </w:rPr>
        <w:t>条关于罚分达到上限的标准。</w:t>
      </w:r>
    </w:p>
    <w:p w:rsidR="00DE34A4" w:rsidRDefault="00DE34A4" w:rsidP="00DE34A4">
      <w:pPr>
        <w:pStyle w:val="1"/>
        <w:numPr>
          <w:ilvl w:val="0"/>
          <w:numId w:val="3"/>
        </w:numPr>
        <w:spacing w:before="156" w:after="156" w:line="240" w:lineRule="auto"/>
        <w:ind w:left="0" w:firstLine="0"/>
        <w:rPr>
          <w:rFonts w:eastAsia="宋体"/>
          <w:sz w:val="32"/>
          <w:szCs w:val="32"/>
        </w:rPr>
      </w:pPr>
      <w:r>
        <w:rPr>
          <w:rFonts w:eastAsia="宋体"/>
          <w:sz w:val="32"/>
          <w:szCs w:val="32"/>
        </w:rPr>
        <w:t>评分标准</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总分构成</w:t>
      </w:r>
    </w:p>
    <w:p w:rsidR="00DE34A4" w:rsidRDefault="00DE34A4" w:rsidP="00DE34A4">
      <w:pPr>
        <w:ind w:firstLineChars="200" w:firstLine="440"/>
        <w:rPr>
          <w:rFonts w:eastAsia="楷体"/>
        </w:rPr>
      </w:pPr>
      <w:r>
        <w:rPr>
          <w:rFonts w:eastAsia="楷体"/>
        </w:rPr>
        <w:t>结构评分按总分</w:t>
      </w:r>
      <w:r>
        <w:rPr>
          <w:rFonts w:eastAsia="楷体"/>
        </w:rPr>
        <w:t>100</w:t>
      </w:r>
      <w:r>
        <w:rPr>
          <w:rFonts w:eastAsia="楷体"/>
        </w:rPr>
        <w:t>分计算，其中包括：</w:t>
      </w:r>
    </w:p>
    <w:p w:rsidR="00DE34A4" w:rsidRDefault="00DE34A4" w:rsidP="00DE34A4">
      <w:pPr>
        <w:ind w:firstLineChars="200" w:firstLine="440"/>
        <w:rPr>
          <w:rFonts w:eastAsia="楷体"/>
        </w:rPr>
      </w:pPr>
      <w:r>
        <w:rPr>
          <w:rFonts w:eastAsia="楷体"/>
        </w:rPr>
        <w:t>加载表现分值</w:t>
      </w:r>
      <w:r>
        <w:rPr>
          <w:rFonts w:eastAsia="楷体"/>
        </w:rPr>
        <w:t>: 100</w:t>
      </w:r>
      <w:r>
        <w:rPr>
          <w:rFonts w:eastAsia="楷体"/>
        </w:rPr>
        <w:t>分</w:t>
      </w:r>
    </w:p>
    <w:p w:rsidR="00DE34A4" w:rsidRDefault="00DE34A4" w:rsidP="00DE34A4">
      <w:pPr>
        <w:ind w:firstLineChars="200" w:firstLine="440"/>
        <w:rPr>
          <w:rFonts w:eastAsia="楷体"/>
        </w:rPr>
      </w:pPr>
      <w:r>
        <w:rPr>
          <w:rFonts w:eastAsia="楷体"/>
        </w:rPr>
        <w:t>违规罚分</w:t>
      </w:r>
      <w:r>
        <w:rPr>
          <w:rFonts w:eastAsia="楷体"/>
        </w:rPr>
        <w:t>:</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评分细则</w:t>
      </w:r>
    </w:p>
    <w:p w:rsidR="00DE34A4" w:rsidRDefault="00DE34A4" w:rsidP="00DE34A4">
      <w:pPr>
        <w:pStyle w:val="a7"/>
        <w:widowControl w:val="0"/>
        <w:numPr>
          <w:ilvl w:val="0"/>
          <w:numId w:val="13"/>
        </w:numPr>
        <w:spacing w:line="360" w:lineRule="auto"/>
        <w:ind w:left="420" w:firstLineChars="0"/>
        <w:rPr>
          <w:rFonts w:eastAsia="楷体"/>
          <w:sz w:val="24"/>
          <w:szCs w:val="24"/>
        </w:rPr>
      </w:pPr>
      <w:r>
        <w:rPr>
          <w:rFonts w:eastAsia="楷体"/>
          <w:sz w:val="24"/>
          <w:szCs w:val="24"/>
        </w:rPr>
        <w:t>加载表现评分：满分</w:t>
      </w:r>
      <w:r>
        <w:rPr>
          <w:rFonts w:eastAsia="楷体"/>
          <w:sz w:val="24"/>
          <w:szCs w:val="24"/>
        </w:rPr>
        <w:t>100</w:t>
      </w:r>
      <w:r>
        <w:rPr>
          <w:rFonts w:eastAsia="楷体"/>
          <w:sz w:val="24"/>
          <w:szCs w:val="24"/>
        </w:rPr>
        <w:t>分</w:t>
      </w:r>
    </w:p>
    <w:p w:rsidR="00DE34A4" w:rsidRDefault="00DE34A4" w:rsidP="00DE34A4">
      <w:pPr>
        <w:ind w:firstLineChars="200" w:firstLine="440"/>
        <w:rPr>
          <w:rFonts w:eastAsia="楷体"/>
        </w:rPr>
      </w:pPr>
      <w:r>
        <w:rPr>
          <w:rFonts w:eastAsia="楷体"/>
        </w:rPr>
        <w:t>第一级成功加载得分系数：</w:t>
      </w:r>
      <w:r>
        <w:rPr>
          <w:rFonts w:eastAsia="楷体"/>
          <w:position w:val="-30"/>
        </w:rPr>
        <w:object w:dxaOrig="1800"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3.75pt" o:ole="">
            <v:imagedata r:id="rId22" o:title=""/>
          </v:shape>
          <o:OLEObject Type="Embed" ProgID="Equation.3" ShapeID="_x0000_i1025" DrawAspect="Content" ObjectID="_1744806669" r:id="rId23"/>
        </w:object>
      </w:r>
    </w:p>
    <w:p w:rsidR="00DE34A4" w:rsidRDefault="00DE34A4" w:rsidP="00DE34A4">
      <w:pPr>
        <w:ind w:firstLineChars="200" w:firstLine="440"/>
        <w:rPr>
          <w:rFonts w:eastAsia="楷体"/>
        </w:rPr>
      </w:pPr>
      <w:r>
        <w:rPr>
          <w:rFonts w:eastAsia="楷体"/>
        </w:rPr>
        <w:t>第二级成功加载得分系数：</w:t>
      </w:r>
      <w:r>
        <w:rPr>
          <w:rFonts w:eastAsia="楷体"/>
          <w:position w:val="-30"/>
        </w:rPr>
        <w:object w:dxaOrig="1815" w:dyaOrig="675">
          <v:shape id="_x0000_i1026" type="#_x0000_t75" style="width:90.75pt;height:33.75pt" o:ole="">
            <v:imagedata r:id="rId24" o:title=""/>
          </v:shape>
          <o:OLEObject Type="Embed" ProgID="Equation.3" ShapeID="_x0000_i1026" DrawAspect="Content" ObjectID="_1744806670" r:id="rId25"/>
        </w:object>
      </w:r>
    </w:p>
    <w:p w:rsidR="00DE34A4" w:rsidRDefault="00DE34A4" w:rsidP="00DE34A4">
      <w:pPr>
        <w:ind w:firstLineChars="200" w:firstLine="440"/>
        <w:rPr>
          <w:rFonts w:eastAsia="楷体"/>
        </w:rPr>
      </w:pPr>
      <w:r>
        <w:rPr>
          <w:rFonts w:eastAsia="楷体"/>
        </w:rPr>
        <w:t>第三级成功加载得分系数：</w:t>
      </w:r>
      <w:r>
        <w:rPr>
          <w:rFonts w:eastAsia="楷体"/>
          <w:position w:val="-30"/>
        </w:rPr>
        <w:object w:dxaOrig="1815" w:dyaOrig="675">
          <v:shape id="_x0000_i1027" type="#_x0000_t75" style="width:90.75pt;height:33.75pt" o:ole="">
            <v:imagedata r:id="rId26" o:title=""/>
          </v:shape>
          <o:OLEObject Type="Embed" ProgID="Equation.3" ShapeID="_x0000_i1027" DrawAspect="Content" ObjectID="_1744806671" r:id="rId27"/>
        </w:object>
      </w:r>
    </w:p>
    <w:p w:rsidR="00DE34A4" w:rsidRDefault="00DE34A4" w:rsidP="00DE34A4">
      <w:pPr>
        <w:ind w:firstLineChars="200" w:firstLine="440"/>
        <w:textAlignment w:val="center"/>
        <w:rPr>
          <w:rFonts w:eastAsia="楷体"/>
        </w:rPr>
      </w:pPr>
      <w:r>
        <w:rPr>
          <w:rFonts w:eastAsia="楷体"/>
        </w:rPr>
        <w:t>其中，</w:t>
      </w:r>
      <w:r>
        <w:rPr>
          <w:rFonts w:eastAsia="楷体"/>
          <w:noProof/>
        </w:rPr>
        <w:drawing>
          <wp:inline distT="0" distB="0" distL="114300" distR="114300" wp14:anchorId="3D3C89B9" wp14:editId="567C4D2E">
            <wp:extent cx="209550" cy="209550"/>
            <wp:effectExtent l="0" t="0" r="6350" b="6985"/>
            <wp:docPr id="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7"/>
                    <pic:cNvPicPr>
                      <a:picLocks noChangeAspect="1"/>
                    </pic:cNvPicPr>
                  </pic:nvPicPr>
                  <pic:blipFill>
                    <a:blip r:embed="rId28"/>
                    <a:stretch>
                      <a:fillRect/>
                    </a:stretch>
                  </pic:blipFill>
                  <pic:spPr>
                    <a:xfrm>
                      <a:off x="0" y="0"/>
                      <a:ext cx="209550" cy="209550"/>
                    </a:xfrm>
                    <a:prstGeom prst="rect">
                      <a:avLst/>
                    </a:prstGeom>
                    <a:noFill/>
                    <a:ln>
                      <a:noFill/>
                    </a:ln>
                  </pic:spPr>
                </pic:pic>
              </a:graphicData>
            </a:graphic>
          </wp:inline>
        </w:drawing>
      </w:r>
      <w:r>
        <w:rPr>
          <w:rFonts w:eastAsia="楷体"/>
        </w:rPr>
        <w:t>为某参赛队模型的质量；</w:t>
      </w:r>
      <w:r>
        <w:rPr>
          <w:rFonts w:eastAsia="楷体"/>
          <w:noProof/>
        </w:rPr>
        <w:drawing>
          <wp:inline distT="0" distB="0" distL="114300" distR="114300" wp14:anchorId="79A9C8C8" wp14:editId="01889027">
            <wp:extent cx="333375" cy="209550"/>
            <wp:effectExtent l="0" t="0" r="9525" b="5080"/>
            <wp:docPr id="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8"/>
                    <pic:cNvPicPr>
                      <a:picLocks noChangeAspect="1"/>
                    </pic:cNvPicPr>
                  </pic:nvPicPr>
                  <pic:blipFill>
                    <a:blip r:embed="rId29"/>
                    <a:stretch>
                      <a:fillRect/>
                    </a:stretch>
                  </pic:blipFill>
                  <pic:spPr>
                    <a:xfrm>
                      <a:off x="0" y="0"/>
                      <a:ext cx="333375" cy="209550"/>
                    </a:xfrm>
                    <a:prstGeom prst="rect">
                      <a:avLst/>
                    </a:prstGeom>
                    <a:noFill/>
                    <a:ln>
                      <a:noFill/>
                    </a:ln>
                  </pic:spPr>
                </pic:pic>
              </a:graphicData>
            </a:graphic>
          </wp:inline>
        </w:drawing>
      </w:r>
      <w:r>
        <w:rPr>
          <w:rFonts w:eastAsia="楷体"/>
        </w:rPr>
        <w:t>为所有通过三级加载的模型中的质量最小值，若所有队伍均未通过第三级，则</w:t>
      </w:r>
      <w:r>
        <w:rPr>
          <w:rFonts w:eastAsia="楷体"/>
          <w:noProof/>
        </w:rPr>
        <w:drawing>
          <wp:inline distT="0" distB="0" distL="114300" distR="114300" wp14:anchorId="6F0EE66E" wp14:editId="29AB07FE">
            <wp:extent cx="333375" cy="209550"/>
            <wp:effectExtent l="0" t="0" r="1270" b="6985"/>
            <wp:docPr id="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pic:cNvPicPr>
                      <a:picLocks noChangeAspect="1"/>
                    </pic:cNvPicPr>
                  </pic:nvPicPr>
                  <pic:blipFill>
                    <a:blip r:embed="rId29"/>
                    <a:stretch>
                      <a:fillRect/>
                    </a:stretch>
                  </pic:blipFill>
                  <pic:spPr>
                    <a:xfrm>
                      <a:off x="0" y="0"/>
                      <a:ext cx="333375" cy="209550"/>
                    </a:xfrm>
                    <a:prstGeom prst="rect">
                      <a:avLst/>
                    </a:prstGeom>
                    <a:noFill/>
                    <a:ln>
                      <a:noFill/>
                    </a:ln>
                  </pic:spPr>
                </pic:pic>
              </a:graphicData>
            </a:graphic>
          </wp:inline>
        </w:drawing>
      </w:r>
      <w:r>
        <w:rPr>
          <w:rFonts w:eastAsia="楷体"/>
        </w:rPr>
        <w:t>取通过加载级别最多的所有模型中的质量最小值。</w:t>
      </w:r>
      <w:r>
        <w:rPr>
          <w:rFonts w:eastAsia="楷体"/>
          <w:b/>
          <w:bCs/>
        </w:rPr>
        <w:t>若某级加载不成功，当级及后续级别加载得分系数均记为</w:t>
      </w:r>
      <w:r>
        <w:rPr>
          <w:rFonts w:eastAsia="楷体"/>
          <w:b/>
          <w:bCs/>
        </w:rPr>
        <w:t>0</w:t>
      </w:r>
      <w:r>
        <w:rPr>
          <w:rFonts w:eastAsia="楷体"/>
          <w:b/>
          <w:bCs/>
        </w:rPr>
        <w:t>。</w:t>
      </w:r>
    </w:p>
    <w:p w:rsidR="00DE34A4" w:rsidRDefault="00DE34A4" w:rsidP="00DE34A4">
      <w:pPr>
        <w:ind w:firstLineChars="200" w:firstLine="440"/>
        <w:textAlignment w:val="center"/>
        <w:rPr>
          <w:rFonts w:eastAsia="楷体"/>
          <w:position w:val="-12"/>
        </w:rPr>
      </w:pPr>
      <w:r>
        <w:rPr>
          <w:rFonts w:eastAsia="楷体"/>
        </w:rPr>
        <w:t>第</w:t>
      </w:r>
      <w:r>
        <w:rPr>
          <w:rFonts w:eastAsia="楷体"/>
        </w:rPr>
        <w:t>i</w:t>
      </w:r>
      <w:r>
        <w:rPr>
          <w:rFonts w:eastAsia="楷体"/>
        </w:rPr>
        <w:t>队的加载表现得分</w:t>
      </w:r>
      <w:r>
        <w:rPr>
          <w:rFonts w:eastAsia="楷体"/>
          <w:noProof/>
        </w:rPr>
        <w:drawing>
          <wp:inline distT="0" distB="0" distL="114300" distR="114300" wp14:anchorId="215E6E39" wp14:editId="3EB7371B">
            <wp:extent cx="180975" cy="209550"/>
            <wp:effectExtent l="0" t="0" r="0" b="5080"/>
            <wp:docPr id="3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1"/>
                    <pic:cNvPicPr>
                      <a:picLocks noChangeAspect="1"/>
                    </pic:cNvPicPr>
                  </pic:nvPicPr>
                  <pic:blipFill>
                    <a:blip r:embed="rId30"/>
                    <a:stretch>
                      <a:fillRect/>
                    </a:stretch>
                  </pic:blipFill>
                  <pic:spPr>
                    <a:xfrm>
                      <a:off x="0" y="0"/>
                      <a:ext cx="180975" cy="209550"/>
                    </a:xfrm>
                    <a:prstGeom prst="rect">
                      <a:avLst/>
                    </a:prstGeom>
                    <a:noFill/>
                    <a:ln>
                      <a:noFill/>
                    </a:ln>
                  </pic:spPr>
                </pic:pic>
              </a:graphicData>
            </a:graphic>
          </wp:inline>
        </w:drawing>
      </w:r>
    </w:p>
    <w:p w:rsidR="00DE34A4" w:rsidRDefault="00DE34A4" w:rsidP="00DE34A4">
      <w:pPr>
        <w:ind w:firstLineChars="200" w:firstLine="440"/>
        <w:rPr>
          <w:rFonts w:eastAsia="楷体"/>
          <w:position w:val="-12"/>
        </w:rPr>
      </w:pPr>
      <m:oMathPara>
        <m:oMath>
          <m:sSub>
            <m:sSubPr>
              <m:ctrlPr>
                <w:rPr>
                  <w:rFonts w:ascii="Cambria Math" w:eastAsia="楷体" w:hAnsi="Cambria Math"/>
                  <w:i/>
                </w:rPr>
              </m:ctrlPr>
            </m:sSubPr>
            <m:e>
              <m:r>
                <w:rPr>
                  <w:rFonts w:ascii="Cambria Math" w:eastAsia="楷体" w:hAnsi="Cambria Math"/>
                </w:rPr>
                <m:t>D</m:t>
              </m:r>
            </m:e>
            <m:sub>
              <m:r>
                <w:rPr>
                  <w:rFonts w:ascii="Cambria Math" w:eastAsia="楷体" w:hAnsi="Cambria Math"/>
                </w:rPr>
                <m:t>i</m:t>
              </m:r>
            </m:sub>
          </m:sSub>
          <m:r>
            <w:rPr>
              <w:rFonts w:ascii="Cambria Math" w:eastAsia="楷体" w:hAnsi="Cambria Math"/>
            </w:rPr>
            <m:t>=30</m:t>
          </m:r>
          <m:sSub>
            <m:sSubPr>
              <m:ctrlPr>
                <w:rPr>
                  <w:rFonts w:ascii="Cambria Math" w:eastAsia="楷体" w:hAnsi="Cambria Math"/>
                  <w:i/>
                </w:rPr>
              </m:ctrlPr>
            </m:sSubPr>
            <m:e>
              <m:r>
                <w:rPr>
                  <w:rFonts w:ascii="Cambria Math" w:eastAsia="楷体" w:hAnsi="Cambria Math"/>
                </w:rPr>
                <m:t>k</m:t>
              </m:r>
            </m:e>
            <m:sub>
              <m:r>
                <w:rPr>
                  <w:rFonts w:ascii="Cambria Math" w:eastAsia="楷体" w:hAnsi="Cambria Math"/>
                </w:rPr>
                <m:t>1i</m:t>
              </m:r>
            </m:sub>
          </m:sSub>
          <m:r>
            <w:rPr>
              <w:rFonts w:ascii="Cambria Math" w:eastAsia="楷体" w:hAnsi="Cambria Math"/>
            </w:rPr>
            <m:t>+30</m:t>
          </m:r>
          <m:sSub>
            <m:sSubPr>
              <m:ctrlPr>
                <w:rPr>
                  <w:rFonts w:ascii="Cambria Math" w:eastAsia="楷体" w:hAnsi="Cambria Math"/>
                  <w:i/>
                </w:rPr>
              </m:ctrlPr>
            </m:sSubPr>
            <m:e>
              <m:r>
                <w:rPr>
                  <w:rFonts w:ascii="Cambria Math" w:eastAsia="楷体" w:hAnsi="Cambria Math"/>
                </w:rPr>
                <m:t>k</m:t>
              </m:r>
            </m:e>
            <m:sub>
              <m:r>
                <w:rPr>
                  <w:rFonts w:ascii="Cambria Math" w:eastAsia="楷体" w:hAnsi="Cambria Math"/>
                </w:rPr>
                <m:t>2i</m:t>
              </m:r>
            </m:sub>
          </m:sSub>
          <m:r>
            <w:rPr>
              <w:rFonts w:ascii="Cambria Math" w:eastAsia="楷体" w:hAnsi="Cambria Math"/>
            </w:rPr>
            <m:t>+40</m:t>
          </m:r>
          <m:sSub>
            <m:sSubPr>
              <m:ctrlPr>
                <w:rPr>
                  <w:rFonts w:ascii="Cambria Math" w:eastAsia="楷体" w:hAnsi="Cambria Math"/>
                  <w:i/>
                </w:rPr>
              </m:ctrlPr>
            </m:sSubPr>
            <m:e>
              <m:r>
                <w:rPr>
                  <w:rFonts w:ascii="Cambria Math" w:eastAsia="楷体" w:hAnsi="Cambria Math"/>
                </w:rPr>
                <m:t>k</m:t>
              </m:r>
            </m:e>
            <m:sub>
              <m:r>
                <w:rPr>
                  <w:rFonts w:ascii="Cambria Math" w:eastAsia="楷体" w:hAnsi="Cambria Math"/>
                </w:rPr>
                <m:t>3i</m:t>
              </m:r>
            </m:sub>
          </m:sSub>
        </m:oMath>
      </m:oMathPara>
    </w:p>
    <w:p w:rsidR="00DE34A4" w:rsidRDefault="00DE34A4" w:rsidP="00DE34A4">
      <w:pPr>
        <w:pStyle w:val="a7"/>
        <w:widowControl w:val="0"/>
        <w:numPr>
          <w:ilvl w:val="0"/>
          <w:numId w:val="13"/>
        </w:numPr>
        <w:spacing w:line="360" w:lineRule="auto"/>
        <w:ind w:left="420" w:firstLineChars="0"/>
        <w:rPr>
          <w:rFonts w:eastAsia="楷体"/>
          <w:sz w:val="24"/>
          <w:szCs w:val="24"/>
        </w:rPr>
      </w:pPr>
      <w:r>
        <w:rPr>
          <w:rFonts w:eastAsia="楷体"/>
          <w:sz w:val="24"/>
          <w:szCs w:val="24"/>
        </w:rPr>
        <w:t>罚分标准</w:t>
      </w:r>
    </w:p>
    <w:p w:rsidR="00DE34A4" w:rsidRDefault="00DE34A4" w:rsidP="00DE34A4">
      <w:pPr>
        <w:ind w:firstLineChars="200" w:firstLine="440"/>
        <w:rPr>
          <w:rFonts w:eastAsia="楷体"/>
        </w:rPr>
      </w:pPr>
      <w:r>
        <w:rPr>
          <w:rFonts w:eastAsia="楷体"/>
        </w:rPr>
        <w:t>出现以下情况，进行罚分，</w:t>
      </w:r>
      <w:r>
        <w:rPr>
          <w:rFonts w:eastAsia="楷体"/>
          <w:b/>
          <w:bCs/>
        </w:rPr>
        <w:t>所罚分数累计计算</w:t>
      </w:r>
      <w:r>
        <w:rPr>
          <w:rFonts w:eastAsia="楷体"/>
        </w:rPr>
        <w:t>，总罚分记为</w:t>
      </w:r>
      <w:r>
        <w:rPr>
          <w:rFonts w:eastAsia="楷体"/>
          <w:i/>
          <w:iCs/>
        </w:rPr>
        <w:t>F</w:t>
      </w:r>
      <w:r>
        <w:rPr>
          <w:rFonts w:eastAsia="楷体"/>
          <w:vertAlign w:val="subscript"/>
        </w:rPr>
        <w:t>i</w:t>
      </w:r>
      <w:r>
        <w:rPr>
          <w:rFonts w:eastAsia="楷体"/>
        </w:rPr>
        <w:t>（</w:t>
      </w:r>
      <w:r>
        <w:rPr>
          <w:rFonts w:eastAsia="楷体"/>
          <w:b/>
          <w:bCs/>
        </w:rPr>
        <w:t>最多罚到加载表现得</w:t>
      </w:r>
      <w:r>
        <w:rPr>
          <w:rFonts w:eastAsia="楷体"/>
          <w:b/>
          <w:bCs/>
        </w:rPr>
        <w:t>0</w:t>
      </w:r>
      <w:r>
        <w:rPr>
          <w:rFonts w:eastAsia="楷体"/>
          <w:b/>
          <w:bCs/>
        </w:rPr>
        <w:t>分为止，加载表现不产生负分</w:t>
      </w:r>
      <w:r>
        <w:rPr>
          <w:rFonts w:eastAsia="楷体"/>
        </w:rPr>
        <w:t>）。</w:t>
      </w:r>
    </w:p>
    <w:p w:rsidR="00DE34A4" w:rsidRDefault="00DE34A4" w:rsidP="00DE34A4">
      <w:pPr>
        <w:pStyle w:val="a7"/>
        <w:widowControl w:val="0"/>
        <w:numPr>
          <w:ilvl w:val="0"/>
          <w:numId w:val="14"/>
        </w:numPr>
        <w:spacing w:line="360" w:lineRule="auto"/>
        <w:ind w:firstLineChars="0"/>
        <w:rPr>
          <w:rFonts w:eastAsia="楷体"/>
        </w:rPr>
      </w:pPr>
      <w:r>
        <w:rPr>
          <w:rFonts w:eastAsia="楷体"/>
        </w:rPr>
        <w:t>加载准备时间超过</w:t>
      </w:r>
      <w:r>
        <w:rPr>
          <w:rFonts w:eastAsia="楷体"/>
        </w:rPr>
        <w:t>8.1</w:t>
      </w:r>
      <w:r>
        <w:rPr>
          <w:rFonts w:eastAsia="楷体"/>
        </w:rPr>
        <w:t>条所述的</w:t>
      </w:r>
      <w:r>
        <w:rPr>
          <w:rFonts w:eastAsia="楷体"/>
          <w:kern w:val="2"/>
        </w:rPr>
        <w:t>4</w:t>
      </w:r>
      <w:r>
        <w:rPr>
          <w:rFonts w:eastAsia="楷体"/>
        </w:rPr>
        <w:t>分钟限制，每超过</w:t>
      </w:r>
      <w:r>
        <w:rPr>
          <w:rFonts w:eastAsia="楷体"/>
          <w:kern w:val="2"/>
        </w:rPr>
        <w:t>1</w:t>
      </w:r>
      <w:r>
        <w:rPr>
          <w:rFonts w:eastAsia="楷体"/>
        </w:rPr>
        <w:t>分钟，罚</w:t>
      </w:r>
      <w:r>
        <w:rPr>
          <w:rFonts w:eastAsia="楷体"/>
          <w:kern w:val="2"/>
        </w:rPr>
        <w:t>2</w:t>
      </w:r>
      <w:r>
        <w:rPr>
          <w:rFonts w:eastAsia="楷体"/>
        </w:rPr>
        <w:t>分，不足</w:t>
      </w:r>
      <w:r>
        <w:rPr>
          <w:rFonts w:eastAsia="楷体"/>
        </w:rPr>
        <w:t>1</w:t>
      </w:r>
      <w:r>
        <w:rPr>
          <w:rFonts w:eastAsia="楷体"/>
        </w:rPr>
        <w:t>分钟按照</w:t>
      </w:r>
      <w:r>
        <w:rPr>
          <w:rFonts w:eastAsia="楷体"/>
        </w:rPr>
        <w:t>1</w:t>
      </w:r>
      <w:r>
        <w:rPr>
          <w:rFonts w:eastAsia="楷体"/>
        </w:rPr>
        <w:t>分钟计算，准备时间超时达到</w:t>
      </w:r>
      <w:r>
        <w:rPr>
          <w:rFonts w:eastAsia="楷体"/>
        </w:rPr>
        <w:t>5</w:t>
      </w:r>
      <w:r>
        <w:rPr>
          <w:rFonts w:eastAsia="楷体"/>
        </w:rPr>
        <w:t>分钟（按罚分计达到</w:t>
      </w:r>
      <w:r>
        <w:rPr>
          <w:rFonts w:eastAsia="楷体"/>
        </w:rPr>
        <w:t>10</w:t>
      </w:r>
      <w:r>
        <w:rPr>
          <w:rFonts w:eastAsia="楷体"/>
        </w:rPr>
        <w:t>分），取消加载资格。</w:t>
      </w:r>
    </w:p>
    <w:p w:rsidR="00DE34A4" w:rsidRDefault="00DE34A4" w:rsidP="00DE34A4">
      <w:pPr>
        <w:pStyle w:val="a7"/>
        <w:widowControl w:val="0"/>
        <w:numPr>
          <w:ilvl w:val="0"/>
          <w:numId w:val="14"/>
        </w:numPr>
        <w:spacing w:line="360" w:lineRule="auto"/>
        <w:ind w:firstLineChars="0"/>
        <w:rPr>
          <w:rFonts w:eastAsia="楷体"/>
        </w:rPr>
      </w:pPr>
      <w:r>
        <w:rPr>
          <w:rFonts w:eastAsia="楷体"/>
        </w:rPr>
        <w:t>每级加载过程中（含在桥岸停靠或行驶）光幕声光报警器发出第一次报警声，罚</w:t>
      </w:r>
      <w:r>
        <w:rPr>
          <w:rFonts w:eastAsia="楷体"/>
        </w:rPr>
        <w:t>3</w:t>
      </w:r>
      <w:r>
        <w:rPr>
          <w:rFonts w:eastAsia="楷体"/>
        </w:rPr>
        <w:t>分（最多罚到该级得</w:t>
      </w:r>
      <w:r>
        <w:rPr>
          <w:rFonts w:eastAsia="楷体"/>
        </w:rPr>
        <w:t>0</w:t>
      </w:r>
      <w:r>
        <w:rPr>
          <w:rFonts w:eastAsia="楷体"/>
        </w:rPr>
        <w:t>分为止，该级加载不产生负分），允许队员此时立马关闭光幕位移计，载重小车全部退回到对应出发桥岸，重新加载，打开光幕位移计，每级最多两次加载机会，若发出第二次报警声，本级加载失败，模型加载结束。</w:t>
      </w:r>
    </w:p>
    <w:p w:rsidR="00DE34A4" w:rsidRDefault="00DE34A4" w:rsidP="00DE34A4">
      <w:pPr>
        <w:pStyle w:val="a7"/>
        <w:widowControl w:val="0"/>
        <w:numPr>
          <w:ilvl w:val="0"/>
          <w:numId w:val="14"/>
        </w:numPr>
        <w:spacing w:line="360" w:lineRule="auto"/>
        <w:ind w:firstLineChars="0"/>
        <w:rPr>
          <w:rFonts w:eastAsia="楷体"/>
        </w:rPr>
      </w:pPr>
      <w:r>
        <w:rPr>
          <w:rFonts w:eastAsia="楷体"/>
        </w:rPr>
        <w:t>第三级</w:t>
      </w:r>
      <w:r>
        <w:rPr>
          <w:rFonts w:eastAsia="楷体"/>
          <w:b/>
          <w:bCs/>
        </w:rPr>
        <w:t>小球撞击桥墩后</w:t>
      </w:r>
      <w:r>
        <w:rPr>
          <w:rFonts w:eastAsia="楷体"/>
        </w:rPr>
        <w:t>，声光报警器发出瞬时报警（持续时间小于</w:t>
      </w:r>
      <w:r>
        <w:rPr>
          <w:rFonts w:eastAsia="楷体"/>
        </w:rPr>
        <w:t>3</w:t>
      </w:r>
      <w:r>
        <w:rPr>
          <w:rFonts w:eastAsia="楷体"/>
        </w:rPr>
        <w:t>秒），不进行重新撞击加载，罚</w:t>
      </w:r>
      <w:r>
        <w:rPr>
          <w:rFonts w:eastAsia="楷体"/>
        </w:rPr>
        <w:t>3</w:t>
      </w:r>
      <w:r>
        <w:rPr>
          <w:rFonts w:eastAsia="楷体"/>
        </w:rPr>
        <w:t>分（罚到该级得</w:t>
      </w:r>
      <w:r>
        <w:rPr>
          <w:rFonts w:eastAsia="楷体"/>
        </w:rPr>
        <w:t>0</w:t>
      </w:r>
      <w:r>
        <w:rPr>
          <w:rFonts w:eastAsia="楷体"/>
        </w:rPr>
        <w:t>分为止，该级加载不产生负分），继续行驶到对岸的过程中没有发出第二次报警声，本级加载成功（罚</w:t>
      </w:r>
      <w:r>
        <w:rPr>
          <w:rFonts w:eastAsia="楷体"/>
        </w:rPr>
        <w:t>3</w:t>
      </w:r>
      <w:r>
        <w:rPr>
          <w:rFonts w:eastAsia="楷体"/>
        </w:rPr>
        <w:t>分）。</w:t>
      </w:r>
    </w:p>
    <w:p w:rsidR="00DE34A4" w:rsidRDefault="00DE34A4" w:rsidP="00DE34A4">
      <w:pPr>
        <w:pStyle w:val="a7"/>
        <w:widowControl w:val="0"/>
        <w:numPr>
          <w:ilvl w:val="0"/>
          <w:numId w:val="14"/>
        </w:numPr>
        <w:spacing w:line="360" w:lineRule="auto"/>
        <w:ind w:firstLineChars="0"/>
        <w:rPr>
          <w:rFonts w:eastAsia="楷体"/>
        </w:rPr>
      </w:pPr>
      <w:r>
        <w:rPr>
          <w:rFonts w:eastAsia="楷体"/>
        </w:rPr>
        <w:t>加载测试达到</w:t>
      </w:r>
      <w:r>
        <w:rPr>
          <w:rFonts w:eastAsia="楷体"/>
        </w:rPr>
        <w:t>5</w:t>
      </w:r>
      <w:r>
        <w:rPr>
          <w:rFonts w:eastAsia="楷体"/>
        </w:rPr>
        <w:t>分钟时间限值，加载停止，已完成级别的测试成绩有效。</w:t>
      </w:r>
      <w:r>
        <w:rPr>
          <w:rFonts w:eastAsia="楷体"/>
          <w:b/>
          <w:bCs/>
        </w:rPr>
        <w:t>5</w:t>
      </w:r>
      <w:r>
        <w:rPr>
          <w:rFonts w:eastAsia="楷体"/>
          <w:b/>
          <w:bCs/>
        </w:rPr>
        <w:t>分钟内未完成全部队员携带模型离开加载区域</w:t>
      </w:r>
      <w:r>
        <w:rPr>
          <w:rFonts w:eastAsia="楷体"/>
        </w:rPr>
        <w:t>，每超过</w:t>
      </w:r>
      <w:r>
        <w:rPr>
          <w:rFonts w:eastAsia="楷体"/>
          <w:kern w:val="2"/>
        </w:rPr>
        <w:t>1</w:t>
      </w:r>
      <w:r>
        <w:rPr>
          <w:rFonts w:eastAsia="楷体"/>
        </w:rPr>
        <w:t>分钟，罚</w:t>
      </w:r>
      <w:r>
        <w:rPr>
          <w:rFonts w:eastAsia="楷体"/>
        </w:rPr>
        <w:t>2</w:t>
      </w:r>
      <w:r>
        <w:rPr>
          <w:rFonts w:eastAsia="楷体"/>
        </w:rPr>
        <w:t>分，不足</w:t>
      </w:r>
      <w:r>
        <w:rPr>
          <w:rFonts w:eastAsia="楷体"/>
        </w:rPr>
        <w:t>1</w:t>
      </w:r>
      <w:r>
        <w:rPr>
          <w:rFonts w:eastAsia="楷体"/>
        </w:rPr>
        <w:t>分钟按照</w:t>
      </w:r>
      <w:r>
        <w:rPr>
          <w:rFonts w:eastAsia="楷体"/>
        </w:rPr>
        <w:t>1</w:t>
      </w:r>
      <w:r>
        <w:rPr>
          <w:rFonts w:eastAsia="楷体"/>
        </w:rPr>
        <w:t>分钟计算。</w:t>
      </w:r>
    </w:p>
    <w:p w:rsidR="00DE34A4" w:rsidRDefault="00DE34A4" w:rsidP="00DE34A4">
      <w:pPr>
        <w:pStyle w:val="2"/>
        <w:keepNext w:val="0"/>
        <w:keepLines w:val="0"/>
        <w:numPr>
          <w:ilvl w:val="1"/>
          <w:numId w:val="3"/>
        </w:numPr>
        <w:spacing w:beforeLines="50" w:before="156" w:after="0" w:line="360" w:lineRule="auto"/>
        <w:ind w:left="0" w:firstLine="0"/>
        <w:rPr>
          <w:rFonts w:ascii="Times New Roman" w:hAnsi="Times New Roman"/>
          <w:sz w:val="28"/>
          <w:szCs w:val="28"/>
        </w:rPr>
      </w:pPr>
      <w:r>
        <w:rPr>
          <w:rFonts w:ascii="Times New Roman" w:hAnsi="Times New Roman"/>
          <w:sz w:val="28"/>
          <w:szCs w:val="28"/>
        </w:rPr>
        <w:t>总分计算公式</w:t>
      </w:r>
    </w:p>
    <w:p w:rsidR="00DE34A4" w:rsidRDefault="00DE34A4" w:rsidP="00DE34A4">
      <w:pPr>
        <w:ind w:firstLineChars="200" w:firstLine="440"/>
      </w:pPr>
      <w:r>
        <w:t>第</w:t>
      </w:r>
      <w:r>
        <w:t>i</w:t>
      </w:r>
      <w:r>
        <w:t>支队总分计算公式为：</w:t>
      </w:r>
    </w:p>
    <w:p w:rsidR="00DE34A4" w:rsidRDefault="00DE34A4" w:rsidP="00DE34A4">
      <w:pPr>
        <w:jc w:val="center"/>
        <w:rPr>
          <w:rFonts w:eastAsia="黑体"/>
          <w:b/>
        </w:rPr>
      </w:pPr>
      <w:r>
        <w:rPr>
          <w:position w:val="-12"/>
        </w:rPr>
        <w:object w:dxaOrig="1140" w:dyaOrig="360">
          <v:shape id="_x0000_i1028" type="#_x0000_t75" style="width:57pt;height:18pt" o:ole="">
            <v:imagedata r:id="rId31" o:title=""/>
          </v:shape>
          <o:OLEObject Type="Embed" ProgID="Equation.DSMT4" ShapeID="_x0000_i1028" DrawAspect="Content" ObjectID="_1744806672" r:id="rId32"/>
        </w:object>
      </w:r>
    </w:p>
    <w:p w:rsidR="00DE34A4" w:rsidRDefault="00DE34A4" w:rsidP="00DE34A4">
      <w:pPr>
        <w:pStyle w:val="1"/>
        <w:numPr>
          <w:ilvl w:val="0"/>
          <w:numId w:val="3"/>
        </w:numPr>
        <w:spacing w:before="156" w:after="156" w:line="240" w:lineRule="auto"/>
        <w:ind w:left="0" w:firstLine="0"/>
        <w:rPr>
          <w:rFonts w:eastAsia="宋体"/>
          <w:sz w:val="32"/>
          <w:szCs w:val="32"/>
        </w:rPr>
      </w:pPr>
      <w:r>
        <w:rPr>
          <w:rFonts w:eastAsia="宋体"/>
          <w:sz w:val="32"/>
          <w:szCs w:val="32"/>
        </w:rPr>
        <w:t>其它</w:t>
      </w:r>
    </w:p>
    <w:p w:rsidR="00DE34A4" w:rsidRDefault="00DE34A4" w:rsidP="00DE34A4">
      <w:pPr>
        <w:widowControl w:val="0"/>
        <w:spacing w:line="360" w:lineRule="auto"/>
        <w:ind w:firstLineChars="200" w:firstLine="480"/>
        <w:jc w:val="both"/>
        <w:rPr>
          <w:rFonts w:eastAsia="楷体"/>
          <w:kern w:val="2"/>
          <w:sz w:val="24"/>
          <w:szCs w:val="24"/>
        </w:rPr>
      </w:pPr>
      <w:r>
        <w:rPr>
          <w:rFonts w:eastAsia="楷体"/>
          <w:kern w:val="2"/>
          <w:sz w:val="24"/>
          <w:szCs w:val="24"/>
        </w:rPr>
        <w:t>关于本赛题如有疑问，可询问科协赛事负责人：</w:t>
      </w:r>
    </w:p>
    <w:p w:rsidR="00DE34A4" w:rsidRDefault="00DE34A4" w:rsidP="00DE34A4">
      <w:pPr>
        <w:widowControl w:val="0"/>
        <w:spacing w:line="360" w:lineRule="auto"/>
        <w:ind w:firstLineChars="200" w:firstLine="480"/>
        <w:jc w:val="both"/>
        <w:rPr>
          <w:rFonts w:eastAsia="楷体"/>
          <w:kern w:val="2"/>
          <w:sz w:val="24"/>
          <w:szCs w:val="24"/>
        </w:rPr>
      </w:pPr>
      <w:r>
        <w:rPr>
          <w:rFonts w:eastAsia="楷体"/>
          <w:kern w:val="2"/>
          <w:sz w:val="24"/>
          <w:szCs w:val="24"/>
        </w:rPr>
        <w:t>赵超（老师）：</w:t>
      </w:r>
      <w:r>
        <w:rPr>
          <w:rFonts w:eastAsia="楷体"/>
          <w:kern w:val="2"/>
          <w:sz w:val="24"/>
          <w:szCs w:val="24"/>
        </w:rPr>
        <w:t>15200349257</w:t>
      </w:r>
    </w:p>
    <w:p w:rsidR="00DE34A4" w:rsidRDefault="00DE34A4" w:rsidP="00DE34A4">
      <w:pPr>
        <w:widowControl w:val="0"/>
        <w:spacing w:line="360" w:lineRule="auto"/>
        <w:ind w:firstLineChars="200" w:firstLine="480"/>
        <w:jc w:val="both"/>
        <w:rPr>
          <w:rFonts w:eastAsia="楷体"/>
          <w:sz w:val="30"/>
          <w:szCs w:val="30"/>
        </w:rPr>
      </w:pPr>
      <w:r>
        <w:rPr>
          <w:rFonts w:eastAsia="楷体"/>
          <w:kern w:val="2"/>
          <w:sz w:val="24"/>
          <w:szCs w:val="24"/>
        </w:rPr>
        <w:t>其它未尽事宜，由竞赛组委会研究决定。</w:t>
      </w:r>
    </w:p>
    <w:p w:rsidR="00DE34A4" w:rsidRDefault="00DE34A4" w:rsidP="00DE34A4">
      <w:pPr>
        <w:rPr>
          <w:sz w:val="21"/>
        </w:rPr>
      </w:pPr>
    </w:p>
    <w:p w:rsidR="00DE34A4" w:rsidRDefault="00DE34A4" w:rsidP="00DE34A4">
      <w:pPr>
        <w:spacing w:beforeLines="50" w:before="156" w:afterLines="50" w:after="156"/>
        <w:jc w:val="center"/>
        <w:rPr>
          <w:rFonts w:eastAsia="仿宋"/>
          <w:sz w:val="52"/>
          <w:szCs w:val="52"/>
        </w:rPr>
      </w:pPr>
    </w:p>
    <w:p w:rsidR="000A5F99" w:rsidRPr="00DE34A4" w:rsidRDefault="000A5F99">
      <w:bookmarkStart w:id="23" w:name="_GoBack"/>
      <w:bookmarkEnd w:id="23"/>
    </w:p>
    <w:sectPr w:rsidR="000A5F99" w:rsidRPr="00DE34A4">
      <w:headerReference w:type="even" r:id="rId33"/>
      <w:footerReference w:type="even" r:id="rId34"/>
      <w:footerReference w:type="default" r:id="rId35"/>
      <w:headerReference w:type="first" r:id="rId36"/>
      <w:footerReference w:type="first" r:id="rId37"/>
      <w:pgSz w:w="11906" w:h="16838"/>
      <w:pgMar w:top="1418" w:right="1797" w:bottom="1418"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868" w:rsidRDefault="005F3868" w:rsidP="00DE34A4">
      <w:r>
        <w:separator/>
      </w:r>
    </w:p>
  </w:endnote>
  <w:endnote w:type="continuationSeparator" w:id="0">
    <w:p w:rsidR="005F3868" w:rsidRDefault="005F3868" w:rsidP="00DE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E" w:rsidRDefault="005F3868">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E" w:rsidRDefault="005F3868">
    <w:pPr>
      <w:pStyle w:val="a5"/>
      <w:ind w:firstLine="360"/>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8240;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5E28FE" w:rsidRDefault="005F3868">
                <w:pPr>
                  <w:pStyle w:val="a5"/>
                  <w:ind w:firstLine="360"/>
                </w:pPr>
                <w:r>
                  <w:fldChar w:fldCharType="begin"/>
                </w:r>
                <w:r>
                  <w:instrText xml:space="preserve"> PAGE  \* MERGEFORMAT </w:instrText>
                </w:r>
                <w:r>
                  <w:fldChar w:fldCharType="separate"/>
                </w:r>
                <w:r w:rsidR="00DE34A4">
                  <w:rPr>
                    <w:noProof/>
                  </w:rPr>
                  <w:t>14</w:t>
                </w:r>
                <w:r>
                  <w:fldChar w:fldCharType="end"/>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E" w:rsidRDefault="005F3868">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868" w:rsidRDefault="005F3868" w:rsidP="00DE34A4">
      <w:r>
        <w:separator/>
      </w:r>
    </w:p>
  </w:footnote>
  <w:footnote w:type="continuationSeparator" w:id="0">
    <w:p w:rsidR="005F3868" w:rsidRDefault="005F3868" w:rsidP="00DE3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E" w:rsidRDefault="005F3868">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E" w:rsidRDefault="005F3868">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011D"/>
    <w:multiLevelType w:val="multilevel"/>
    <w:tmpl w:val="0265011D"/>
    <w:lvl w:ilvl="0">
      <w:start w:val="1"/>
      <w:numFmt w:val="lowerLetter"/>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034A4C32"/>
    <w:multiLevelType w:val="multilevel"/>
    <w:tmpl w:val="034A4C32"/>
    <w:lvl w:ilvl="0">
      <w:start w:val="1"/>
      <w:numFmt w:val="lowerLetter"/>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0A022B08"/>
    <w:multiLevelType w:val="multilevel"/>
    <w:tmpl w:val="0A022B08"/>
    <w:lvl w:ilvl="0">
      <w:start w:val="1"/>
      <w:numFmt w:val="decimal"/>
      <w:lvlText w:val="表%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1BE60612"/>
    <w:multiLevelType w:val="multilevel"/>
    <w:tmpl w:val="1BE60612"/>
    <w:lvl w:ilvl="0">
      <w:start w:val="1"/>
      <w:numFmt w:val="lowerLetter"/>
      <w:pStyle w:val="MTDisplayEquation"/>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208F500E"/>
    <w:multiLevelType w:val="multilevel"/>
    <w:tmpl w:val="208F500E"/>
    <w:lvl w:ilvl="0">
      <w:start w:val="1"/>
      <w:numFmt w:val="lowerLetter"/>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3255CC1"/>
    <w:multiLevelType w:val="multilevel"/>
    <w:tmpl w:val="33255CC1"/>
    <w:lvl w:ilvl="0">
      <w:start w:val="1"/>
      <w:numFmt w:val="lowerLetter"/>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439C6D66"/>
    <w:multiLevelType w:val="multilevel"/>
    <w:tmpl w:val="439C6D66"/>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52414E79"/>
    <w:multiLevelType w:val="multilevel"/>
    <w:tmpl w:val="52414E79"/>
    <w:lvl w:ilvl="0">
      <w:start w:val="1"/>
      <w:numFmt w:val="lowerLetter"/>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575C2895"/>
    <w:multiLevelType w:val="multilevel"/>
    <w:tmpl w:val="575C2895"/>
    <w:lvl w:ilvl="0">
      <w:start w:val="1"/>
      <w:numFmt w:val="lowerLetter"/>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59B13724"/>
    <w:multiLevelType w:val="multilevel"/>
    <w:tmpl w:val="59B13724"/>
    <w:lvl w:ilvl="0">
      <w:start w:val="1"/>
      <w:numFmt w:val="decimal"/>
      <w:lvlText w:val="%1)"/>
      <w:lvlJc w:val="left"/>
      <w:pPr>
        <w:ind w:left="900" w:hanging="420"/>
      </w:pPr>
    </w:lvl>
    <w:lvl w:ilvl="1">
      <w:start w:val="1"/>
      <w:numFmt w:val="lowerLetter"/>
      <w:lvlText w:val="%2)"/>
      <w:lvlJc w:val="left"/>
      <w:pPr>
        <w:ind w:left="900" w:hanging="420"/>
      </w:pPr>
      <w:rPr>
        <w:rFonts w:hint="eastAsia"/>
      </w:r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 w15:restartNumberingAfterBreak="0">
    <w:nsid w:val="5A757FF2"/>
    <w:multiLevelType w:val="multilevel"/>
    <w:tmpl w:val="5A757FF2"/>
    <w:lvl w:ilvl="0">
      <w:start w:val="1"/>
      <w:numFmt w:val="lowerLetter"/>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 w15:restartNumberingAfterBreak="0">
    <w:nsid w:val="5ED60313"/>
    <w:multiLevelType w:val="multilevel"/>
    <w:tmpl w:val="5ED60313"/>
    <w:lvl w:ilvl="0">
      <w:start w:val="2"/>
      <w:numFmt w:val="decimal"/>
      <w:pStyle w:val="5"/>
      <w:lvlText w:val="图%1"/>
      <w:lvlJc w:val="center"/>
      <w:pPr>
        <w:ind w:left="982" w:hanging="420"/>
      </w:pPr>
      <w:rPr>
        <w:rFonts w:hint="eastAsia"/>
      </w:rPr>
    </w:lvl>
    <w:lvl w:ilvl="1">
      <w:start w:val="1"/>
      <w:numFmt w:val="decimal"/>
      <w:lvlText w:val="（%2）"/>
      <w:lvlJc w:val="left"/>
      <w:pPr>
        <w:ind w:left="1702" w:hanging="720"/>
      </w:pPr>
      <w:rPr>
        <w:rFonts w:hint="default"/>
      </w:r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2" w15:restartNumberingAfterBreak="0">
    <w:nsid w:val="63557B53"/>
    <w:multiLevelType w:val="multilevel"/>
    <w:tmpl w:val="63557B53"/>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7"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63DA5C44"/>
    <w:multiLevelType w:val="multilevel"/>
    <w:tmpl w:val="63DA5C44"/>
    <w:lvl w:ilvl="0">
      <w:start w:val="1"/>
      <w:numFmt w:val="lowerLetter"/>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1"/>
  </w:num>
  <w:num w:numId="2">
    <w:abstractNumId w:val="3"/>
  </w:num>
  <w:num w:numId="3">
    <w:abstractNumId w:val="12"/>
  </w:num>
  <w:num w:numId="4">
    <w:abstractNumId w:val="4"/>
  </w:num>
  <w:num w:numId="5">
    <w:abstractNumId w:val="13"/>
  </w:num>
  <w:num w:numId="6">
    <w:abstractNumId w:val="5"/>
  </w:num>
  <w:num w:numId="7">
    <w:abstractNumId w:val="2"/>
  </w:num>
  <w:num w:numId="8">
    <w:abstractNumId w:val="9"/>
  </w:num>
  <w:num w:numId="9">
    <w:abstractNumId w:val="0"/>
  </w:num>
  <w:num w:numId="10">
    <w:abstractNumId w:val="8"/>
  </w:num>
  <w:num w:numId="11">
    <w:abstractNumId w:val="7"/>
  </w:num>
  <w:num w:numId="12">
    <w:abstractNumId w:val="10"/>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E2E36"/>
    <w:rsid w:val="00003868"/>
    <w:rsid w:val="00020BEE"/>
    <w:rsid w:val="00021675"/>
    <w:rsid w:val="00023182"/>
    <w:rsid w:val="000305D8"/>
    <w:rsid w:val="000328CA"/>
    <w:rsid w:val="00032F71"/>
    <w:rsid w:val="00035906"/>
    <w:rsid w:val="00035A7E"/>
    <w:rsid w:val="00035F61"/>
    <w:rsid w:val="0004075A"/>
    <w:rsid w:val="00041302"/>
    <w:rsid w:val="00042EB8"/>
    <w:rsid w:val="00043206"/>
    <w:rsid w:val="00047217"/>
    <w:rsid w:val="00055375"/>
    <w:rsid w:val="0006306C"/>
    <w:rsid w:val="000662BD"/>
    <w:rsid w:val="00067CC1"/>
    <w:rsid w:val="000742A0"/>
    <w:rsid w:val="00075581"/>
    <w:rsid w:val="00077E72"/>
    <w:rsid w:val="00084CAE"/>
    <w:rsid w:val="000863D1"/>
    <w:rsid w:val="00092C04"/>
    <w:rsid w:val="00096529"/>
    <w:rsid w:val="000A191F"/>
    <w:rsid w:val="000A219B"/>
    <w:rsid w:val="000A3D18"/>
    <w:rsid w:val="000A5B55"/>
    <w:rsid w:val="000A5F99"/>
    <w:rsid w:val="000B3A64"/>
    <w:rsid w:val="000B59C2"/>
    <w:rsid w:val="000C0A44"/>
    <w:rsid w:val="000C202D"/>
    <w:rsid w:val="000C63CB"/>
    <w:rsid w:val="000D3859"/>
    <w:rsid w:val="000D3924"/>
    <w:rsid w:val="000E028D"/>
    <w:rsid w:val="000E19AE"/>
    <w:rsid w:val="000E1DAD"/>
    <w:rsid w:val="000E3FD0"/>
    <w:rsid w:val="000E6153"/>
    <w:rsid w:val="000F1E28"/>
    <w:rsid w:val="000F506D"/>
    <w:rsid w:val="00103E85"/>
    <w:rsid w:val="001074F7"/>
    <w:rsid w:val="00114854"/>
    <w:rsid w:val="001156AF"/>
    <w:rsid w:val="0012627F"/>
    <w:rsid w:val="001272BF"/>
    <w:rsid w:val="00130856"/>
    <w:rsid w:val="001360EF"/>
    <w:rsid w:val="0014083F"/>
    <w:rsid w:val="00142D0B"/>
    <w:rsid w:val="0014472D"/>
    <w:rsid w:val="001453D6"/>
    <w:rsid w:val="001508A2"/>
    <w:rsid w:val="0015248A"/>
    <w:rsid w:val="001529E2"/>
    <w:rsid w:val="0015313E"/>
    <w:rsid w:val="00153282"/>
    <w:rsid w:val="001655DF"/>
    <w:rsid w:val="00166658"/>
    <w:rsid w:val="00170093"/>
    <w:rsid w:val="001744C8"/>
    <w:rsid w:val="00174D48"/>
    <w:rsid w:val="00177FCE"/>
    <w:rsid w:val="00184277"/>
    <w:rsid w:val="0018475A"/>
    <w:rsid w:val="00185DEB"/>
    <w:rsid w:val="00196B0E"/>
    <w:rsid w:val="00197A5E"/>
    <w:rsid w:val="001A1ABE"/>
    <w:rsid w:val="001A4CF4"/>
    <w:rsid w:val="001A6634"/>
    <w:rsid w:val="001B135B"/>
    <w:rsid w:val="001B1A13"/>
    <w:rsid w:val="001B2508"/>
    <w:rsid w:val="001B56EC"/>
    <w:rsid w:val="001C375C"/>
    <w:rsid w:val="001C43DC"/>
    <w:rsid w:val="001D529E"/>
    <w:rsid w:val="001D6B12"/>
    <w:rsid w:val="001F7BB8"/>
    <w:rsid w:val="001F7C86"/>
    <w:rsid w:val="00200E83"/>
    <w:rsid w:val="00201743"/>
    <w:rsid w:val="00202EBC"/>
    <w:rsid w:val="00206471"/>
    <w:rsid w:val="00226ABD"/>
    <w:rsid w:val="0023174B"/>
    <w:rsid w:val="00232A1A"/>
    <w:rsid w:val="00234549"/>
    <w:rsid w:val="0023533E"/>
    <w:rsid w:val="00241B94"/>
    <w:rsid w:val="00250096"/>
    <w:rsid w:val="00250F5E"/>
    <w:rsid w:val="00253883"/>
    <w:rsid w:val="00255164"/>
    <w:rsid w:val="00256147"/>
    <w:rsid w:val="002602D4"/>
    <w:rsid w:val="00264F45"/>
    <w:rsid w:val="0027456A"/>
    <w:rsid w:val="002756CA"/>
    <w:rsid w:val="00277800"/>
    <w:rsid w:val="002842B4"/>
    <w:rsid w:val="00285170"/>
    <w:rsid w:val="00285A61"/>
    <w:rsid w:val="0028781E"/>
    <w:rsid w:val="00291561"/>
    <w:rsid w:val="00291767"/>
    <w:rsid w:val="002A4187"/>
    <w:rsid w:val="002A5BD2"/>
    <w:rsid w:val="002B6B12"/>
    <w:rsid w:val="002B6FDE"/>
    <w:rsid w:val="002D6BED"/>
    <w:rsid w:val="002E1AC0"/>
    <w:rsid w:val="002E2516"/>
    <w:rsid w:val="002E3376"/>
    <w:rsid w:val="002E4EF5"/>
    <w:rsid w:val="002F2A1B"/>
    <w:rsid w:val="002F3F39"/>
    <w:rsid w:val="002F5736"/>
    <w:rsid w:val="002F77E2"/>
    <w:rsid w:val="00302C8D"/>
    <w:rsid w:val="0031348B"/>
    <w:rsid w:val="003160FA"/>
    <w:rsid w:val="00322E43"/>
    <w:rsid w:val="00326B50"/>
    <w:rsid w:val="00332366"/>
    <w:rsid w:val="00332E4D"/>
    <w:rsid w:val="0033646D"/>
    <w:rsid w:val="003402E0"/>
    <w:rsid w:val="00342EA9"/>
    <w:rsid w:val="00345945"/>
    <w:rsid w:val="00350DE8"/>
    <w:rsid w:val="0035169C"/>
    <w:rsid w:val="00363EE5"/>
    <w:rsid w:val="00364CAD"/>
    <w:rsid w:val="0037132B"/>
    <w:rsid w:val="003728B4"/>
    <w:rsid w:val="00372EA9"/>
    <w:rsid w:val="00374F86"/>
    <w:rsid w:val="00375CDA"/>
    <w:rsid w:val="003851FF"/>
    <w:rsid w:val="0039223E"/>
    <w:rsid w:val="003A29DD"/>
    <w:rsid w:val="003A49DA"/>
    <w:rsid w:val="003A7D66"/>
    <w:rsid w:val="003B1EE1"/>
    <w:rsid w:val="003B6C06"/>
    <w:rsid w:val="003C767F"/>
    <w:rsid w:val="003C775E"/>
    <w:rsid w:val="003D611D"/>
    <w:rsid w:val="003E0A69"/>
    <w:rsid w:val="003E2E36"/>
    <w:rsid w:val="003F0802"/>
    <w:rsid w:val="003F34EB"/>
    <w:rsid w:val="003F7DE9"/>
    <w:rsid w:val="00400831"/>
    <w:rsid w:val="00403771"/>
    <w:rsid w:val="0040434C"/>
    <w:rsid w:val="00407298"/>
    <w:rsid w:val="00411A88"/>
    <w:rsid w:val="004147C1"/>
    <w:rsid w:val="00414D89"/>
    <w:rsid w:val="00415C00"/>
    <w:rsid w:val="00421128"/>
    <w:rsid w:val="00425A23"/>
    <w:rsid w:val="004334AC"/>
    <w:rsid w:val="004402EC"/>
    <w:rsid w:val="00450733"/>
    <w:rsid w:val="00455BBD"/>
    <w:rsid w:val="00464FCA"/>
    <w:rsid w:val="00471E4D"/>
    <w:rsid w:val="004756C1"/>
    <w:rsid w:val="004808C3"/>
    <w:rsid w:val="004A6D06"/>
    <w:rsid w:val="004B1D86"/>
    <w:rsid w:val="004B28D2"/>
    <w:rsid w:val="004C060D"/>
    <w:rsid w:val="004C2721"/>
    <w:rsid w:val="004C775B"/>
    <w:rsid w:val="004D443E"/>
    <w:rsid w:val="004E74FE"/>
    <w:rsid w:val="004F6FBF"/>
    <w:rsid w:val="00502116"/>
    <w:rsid w:val="005042B1"/>
    <w:rsid w:val="00505F79"/>
    <w:rsid w:val="00514CBE"/>
    <w:rsid w:val="00524B5C"/>
    <w:rsid w:val="005259CD"/>
    <w:rsid w:val="00525B39"/>
    <w:rsid w:val="00527ABA"/>
    <w:rsid w:val="00531EAA"/>
    <w:rsid w:val="0053366A"/>
    <w:rsid w:val="00533922"/>
    <w:rsid w:val="00534D35"/>
    <w:rsid w:val="005372A2"/>
    <w:rsid w:val="00543CFE"/>
    <w:rsid w:val="00544036"/>
    <w:rsid w:val="005440F5"/>
    <w:rsid w:val="00544E80"/>
    <w:rsid w:val="005464FF"/>
    <w:rsid w:val="00547AAE"/>
    <w:rsid w:val="00551C04"/>
    <w:rsid w:val="00553BD3"/>
    <w:rsid w:val="005570E9"/>
    <w:rsid w:val="00557E8F"/>
    <w:rsid w:val="00560ED1"/>
    <w:rsid w:val="005665DD"/>
    <w:rsid w:val="005843E2"/>
    <w:rsid w:val="00591925"/>
    <w:rsid w:val="00594054"/>
    <w:rsid w:val="005B31C1"/>
    <w:rsid w:val="005B7210"/>
    <w:rsid w:val="005C738C"/>
    <w:rsid w:val="005D37E4"/>
    <w:rsid w:val="005D67C6"/>
    <w:rsid w:val="005E13DC"/>
    <w:rsid w:val="005E34E1"/>
    <w:rsid w:val="005E3B2C"/>
    <w:rsid w:val="005E3E0B"/>
    <w:rsid w:val="005F27F8"/>
    <w:rsid w:val="005F3868"/>
    <w:rsid w:val="005F7BBB"/>
    <w:rsid w:val="0060091B"/>
    <w:rsid w:val="006025C5"/>
    <w:rsid w:val="0061281C"/>
    <w:rsid w:val="00616609"/>
    <w:rsid w:val="00622411"/>
    <w:rsid w:val="006269D6"/>
    <w:rsid w:val="00627199"/>
    <w:rsid w:val="006360A3"/>
    <w:rsid w:val="0063753F"/>
    <w:rsid w:val="006402B1"/>
    <w:rsid w:val="00642197"/>
    <w:rsid w:val="00642666"/>
    <w:rsid w:val="00644BB2"/>
    <w:rsid w:val="006509D0"/>
    <w:rsid w:val="0065285D"/>
    <w:rsid w:val="00652EC4"/>
    <w:rsid w:val="00654177"/>
    <w:rsid w:val="006623E9"/>
    <w:rsid w:val="00663586"/>
    <w:rsid w:val="00665883"/>
    <w:rsid w:val="006728DB"/>
    <w:rsid w:val="00680A7D"/>
    <w:rsid w:val="00684DC1"/>
    <w:rsid w:val="00693067"/>
    <w:rsid w:val="006934E0"/>
    <w:rsid w:val="00693894"/>
    <w:rsid w:val="0069424C"/>
    <w:rsid w:val="006945FC"/>
    <w:rsid w:val="00695435"/>
    <w:rsid w:val="006A1020"/>
    <w:rsid w:val="006A14F6"/>
    <w:rsid w:val="006B0600"/>
    <w:rsid w:val="006B7017"/>
    <w:rsid w:val="006D32CA"/>
    <w:rsid w:val="006D360D"/>
    <w:rsid w:val="006D47DF"/>
    <w:rsid w:val="006D5A06"/>
    <w:rsid w:val="006D6024"/>
    <w:rsid w:val="006E3666"/>
    <w:rsid w:val="006E7CA5"/>
    <w:rsid w:val="006F2074"/>
    <w:rsid w:val="006F3017"/>
    <w:rsid w:val="006F395F"/>
    <w:rsid w:val="00701528"/>
    <w:rsid w:val="00703F3C"/>
    <w:rsid w:val="00705064"/>
    <w:rsid w:val="00710555"/>
    <w:rsid w:val="00714CEA"/>
    <w:rsid w:val="00716FB4"/>
    <w:rsid w:val="007300FC"/>
    <w:rsid w:val="00730A46"/>
    <w:rsid w:val="00730CA7"/>
    <w:rsid w:val="00731C81"/>
    <w:rsid w:val="00741271"/>
    <w:rsid w:val="00741622"/>
    <w:rsid w:val="00743D43"/>
    <w:rsid w:val="007447D9"/>
    <w:rsid w:val="00745903"/>
    <w:rsid w:val="00745BAB"/>
    <w:rsid w:val="00750D0B"/>
    <w:rsid w:val="00753FFC"/>
    <w:rsid w:val="00754E61"/>
    <w:rsid w:val="00766540"/>
    <w:rsid w:val="00767142"/>
    <w:rsid w:val="00770E0D"/>
    <w:rsid w:val="00776BF2"/>
    <w:rsid w:val="00777DA8"/>
    <w:rsid w:val="00781383"/>
    <w:rsid w:val="00792342"/>
    <w:rsid w:val="00793ECB"/>
    <w:rsid w:val="00796564"/>
    <w:rsid w:val="007A4B3B"/>
    <w:rsid w:val="007A770C"/>
    <w:rsid w:val="007B172C"/>
    <w:rsid w:val="007B205C"/>
    <w:rsid w:val="007C0B2A"/>
    <w:rsid w:val="007C626E"/>
    <w:rsid w:val="007D0A41"/>
    <w:rsid w:val="007D3F54"/>
    <w:rsid w:val="007E10A6"/>
    <w:rsid w:val="007E175F"/>
    <w:rsid w:val="007E2FE1"/>
    <w:rsid w:val="007E3BFA"/>
    <w:rsid w:val="007F07A6"/>
    <w:rsid w:val="007F1D17"/>
    <w:rsid w:val="007F64B7"/>
    <w:rsid w:val="0080702C"/>
    <w:rsid w:val="0081101C"/>
    <w:rsid w:val="00812654"/>
    <w:rsid w:val="008128A7"/>
    <w:rsid w:val="008158C3"/>
    <w:rsid w:val="0082293B"/>
    <w:rsid w:val="00833742"/>
    <w:rsid w:val="0083756B"/>
    <w:rsid w:val="00837A93"/>
    <w:rsid w:val="008446A5"/>
    <w:rsid w:val="0085086C"/>
    <w:rsid w:val="00853D6E"/>
    <w:rsid w:val="008579C0"/>
    <w:rsid w:val="00862B6D"/>
    <w:rsid w:val="008641A2"/>
    <w:rsid w:val="00864206"/>
    <w:rsid w:val="008650F0"/>
    <w:rsid w:val="00873324"/>
    <w:rsid w:val="008778D3"/>
    <w:rsid w:val="008805F1"/>
    <w:rsid w:val="0088329E"/>
    <w:rsid w:val="008839E9"/>
    <w:rsid w:val="00887E95"/>
    <w:rsid w:val="008939F3"/>
    <w:rsid w:val="00895089"/>
    <w:rsid w:val="0089752C"/>
    <w:rsid w:val="00897719"/>
    <w:rsid w:val="008A0310"/>
    <w:rsid w:val="008A288B"/>
    <w:rsid w:val="008A2A89"/>
    <w:rsid w:val="008A2CDC"/>
    <w:rsid w:val="008A30E6"/>
    <w:rsid w:val="008B516D"/>
    <w:rsid w:val="008B728F"/>
    <w:rsid w:val="008C3626"/>
    <w:rsid w:val="008C5CC9"/>
    <w:rsid w:val="008D3081"/>
    <w:rsid w:val="008D3EC7"/>
    <w:rsid w:val="008D6C22"/>
    <w:rsid w:val="008E0480"/>
    <w:rsid w:val="008E10DE"/>
    <w:rsid w:val="008E5CC5"/>
    <w:rsid w:val="008E6894"/>
    <w:rsid w:val="008F001C"/>
    <w:rsid w:val="008F30AA"/>
    <w:rsid w:val="008F3DEC"/>
    <w:rsid w:val="008F5440"/>
    <w:rsid w:val="00902283"/>
    <w:rsid w:val="009126F1"/>
    <w:rsid w:val="00912DFE"/>
    <w:rsid w:val="00914841"/>
    <w:rsid w:val="00916230"/>
    <w:rsid w:val="009202E6"/>
    <w:rsid w:val="00921FF7"/>
    <w:rsid w:val="00922485"/>
    <w:rsid w:val="00923321"/>
    <w:rsid w:val="009279E7"/>
    <w:rsid w:val="009303FD"/>
    <w:rsid w:val="009350D1"/>
    <w:rsid w:val="009356EA"/>
    <w:rsid w:val="00943824"/>
    <w:rsid w:val="00945711"/>
    <w:rsid w:val="00946F4D"/>
    <w:rsid w:val="00957365"/>
    <w:rsid w:val="00971C75"/>
    <w:rsid w:val="00973731"/>
    <w:rsid w:val="0098031C"/>
    <w:rsid w:val="00986FE5"/>
    <w:rsid w:val="009878D1"/>
    <w:rsid w:val="009917C9"/>
    <w:rsid w:val="00996333"/>
    <w:rsid w:val="0099774F"/>
    <w:rsid w:val="009A0274"/>
    <w:rsid w:val="009B4A7B"/>
    <w:rsid w:val="009B62F5"/>
    <w:rsid w:val="009C457D"/>
    <w:rsid w:val="009D073F"/>
    <w:rsid w:val="009D1A4D"/>
    <w:rsid w:val="009E1C96"/>
    <w:rsid w:val="009E310E"/>
    <w:rsid w:val="009F6319"/>
    <w:rsid w:val="009F791A"/>
    <w:rsid w:val="00A0063F"/>
    <w:rsid w:val="00A04D8F"/>
    <w:rsid w:val="00A14BEC"/>
    <w:rsid w:val="00A2132E"/>
    <w:rsid w:val="00A255FB"/>
    <w:rsid w:val="00A2747D"/>
    <w:rsid w:val="00A328E6"/>
    <w:rsid w:val="00A33570"/>
    <w:rsid w:val="00A36287"/>
    <w:rsid w:val="00A43748"/>
    <w:rsid w:val="00A44630"/>
    <w:rsid w:val="00A4479B"/>
    <w:rsid w:val="00A44E47"/>
    <w:rsid w:val="00A46FDF"/>
    <w:rsid w:val="00A55F65"/>
    <w:rsid w:val="00A7584D"/>
    <w:rsid w:val="00A759D3"/>
    <w:rsid w:val="00A83D82"/>
    <w:rsid w:val="00A85DB7"/>
    <w:rsid w:val="00A90203"/>
    <w:rsid w:val="00A945CF"/>
    <w:rsid w:val="00AA0A0B"/>
    <w:rsid w:val="00AA30E5"/>
    <w:rsid w:val="00AC5DCE"/>
    <w:rsid w:val="00AC5EE3"/>
    <w:rsid w:val="00AC7EE6"/>
    <w:rsid w:val="00AC7FEC"/>
    <w:rsid w:val="00AD0963"/>
    <w:rsid w:val="00AD7806"/>
    <w:rsid w:val="00AE0A99"/>
    <w:rsid w:val="00AE2D8D"/>
    <w:rsid w:val="00AE389D"/>
    <w:rsid w:val="00AE4B3F"/>
    <w:rsid w:val="00AE605E"/>
    <w:rsid w:val="00AF1D1B"/>
    <w:rsid w:val="00AF1DC3"/>
    <w:rsid w:val="00B13CD3"/>
    <w:rsid w:val="00B13F0C"/>
    <w:rsid w:val="00B16B85"/>
    <w:rsid w:val="00B1742D"/>
    <w:rsid w:val="00B20E58"/>
    <w:rsid w:val="00B24286"/>
    <w:rsid w:val="00B24E69"/>
    <w:rsid w:val="00B376EA"/>
    <w:rsid w:val="00B433F4"/>
    <w:rsid w:val="00B5023F"/>
    <w:rsid w:val="00B65A09"/>
    <w:rsid w:val="00B73ACB"/>
    <w:rsid w:val="00B74EEF"/>
    <w:rsid w:val="00B74F97"/>
    <w:rsid w:val="00B80ECB"/>
    <w:rsid w:val="00B833CB"/>
    <w:rsid w:val="00B833D2"/>
    <w:rsid w:val="00B915DD"/>
    <w:rsid w:val="00B949D3"/>
    <w:rsid w:val="00B970EA"/>
    <w:rsid w:val="00BA37B9"/>
    <w:rsid w:val="00BB13BA"/>
    <w:rsid w:val="00BB5DE9"/>
    <w:rsid w:val="00BB7752"/>
    <w:rsid w:val="00BC4F81"/>
    <w:rsid w:val="00BC51BE"/>
    <w:rsid w:val="00BD3599"/>
    <w:rsid w:val="00BD45C6"/>
    <w:rsid w:val="00BE22CF"/>
    <w:rsid w:val="00BE5B01"/>
    <w:rsid w:val="00BF54E8"/>
    <w:rsid w:val="00C145A8"/>
    <w:rsid w:val="00C16049"/>
    <w:rsid w:val="00C20338"/>
    <w:rsid w:val="00C23DF1"/>
    <w:rsid w:val="00C258A8"/>
    <w:rsid w:val="00C26580"/>
    <w:rsid w:val="00C31CAB"/>
    <w:rsid w:val="00C32023"/>
    <w:rsid w:val="00C37CA0"/>
    <w:rsid w:val="00C43899"/>
    <w:rsid w:val="00C44B7C"/>
    <w:rsid w:val="00C4508F"/>
    <w:rsid w:val="00C501A3"/>
    <w:rsid w:val="00C53AAA"/>
    <w:rsid w:val="00C552FF"/>
    <w:rsid w:val="00C60DCC"/>
    <w:rsid w:val="00C64926"/>
    <w:rsid w:val="00C71E01"/>
    <w:rsid w:val="00C91DEE"/>
    <w:rsid w:val="00C922B4"/>
    <w:rsid w:val="00CA0189"/>
    <w:rsid w:val="00CA100F"/>
    <w:rsid w:val="00CA25A4"/>
    <w:rsid w:val="00CB2A13"/>
    <w:rsid w:val="00CC0E1D"/>
    <w:rsid w:val="00CC3678"/>
    <w:rsid w:val="00CD0557"/>
    <w:rsid w:val="00CE3013"/>
    <w:rsid w:val="00CE4ADF"/>
    <w:rsid w:val="00CE5912"/>
    <w:rsid w:val="00CE5BA8"/>
    <w:rsid w:val="00CF3AFA"/>
    <w:rsid w:val="00D0046F"/>
    <w:rsid w:val="00D00BEC"/>
    <w:rsid w:val="00D055C8"/>
    <w:rsid w:val="00D077F6"/>
    <w:rsid w:val="00D30DF3"/>
    <w:rsid w:val="00D313B0"/>
    <w:rsid w:val="00D37F9B"/>
    <w:rsid w:val="00D42207"/>
    <w:rsid w:val="00D4369F"/>
    <w:rsid w:val="00D515BA"/>
    <w:rsid w:val="00D519CB"/>
    <w:rsid w:val="00D5424B"/>
    <w:rsid w:val="00D623AB"/>
    <w:rsid w:val="00D6419F"/>
    <w:rsid w:val="00D73EAA"/>
    <w:rsid w:val="00D743DC"/>
    <w:rsid w:val="00D774E2"/>
    <w:rsid w:val="00D77FBB"/>
    <w:rsid w:val="00D81E9E"/>
    <w:rsid w:val="00D83C98"/>
    <w:rsid w:val="00D85247"/>
    <w:rsid w:val="00D8564E"/>
    <w:rsid w:val="00D870EF"/>
    <w:rsid w:val="00DA1159"/>
    <w:rsid w:val="00DA2655"/>
    <w:rsid w:val="00DB46A6"/>
    <w:rsid w:val="00DB59A3"/>
    <w:rsid w:val="00DC7393"/>
    <w:rsid w:val="00DD0F77"/>
    <w:rsid w:val="00DD3850"/>
    <w:rsid w:val="00DD7F55"/>
    <w:rsid w:val="00DE06A6"/>
    <w:rsid w:val="00DE22FA"/>
    <w:rsid w:val="00DE2F3B"/>
    <w:rsid w:val="00DE34A4"/>
    <w:rsid w:val="00DE5E6E"/>
    <w:rsid w:val="00DF7943"/>
    <w:rsid w:val="00E05D7B"/>
    <w:rsid w:val="00E067EA"/>
    <w:rsid w:val="00E06CB0"/>
    <w:rsid w:val="00E14B71"/>
    <w:rsid w:val="00E15EFC"/>
    <w:rsid w:val="00E176A6"/>
    <w:rsid w:val="00E22A46"/>
    <w:rsid w:val="00E403AB"/>
    <w:rsid w:val="00E451E3"/>
    <w:rsid w:val="00E65637"/>
    <w:rsid w:val="00E70750"/>
    <w:rsid w:val="00E74213"/>
    <w:rsid w:val="00E76140"/>
    <w:rsid w:val="00E80CC7"/>
    <w:rsid w:val="00E848BF"/>
    <w:rsid w:val="00E905E6"/>
    <w:rsid w:val="00E95605"/>
    <w:rsid w:val="00EA4965"/>
    <w:rsid w:val="00EB60E5"/>
    <w:rsid w:val="00EC0637"/>
    <w:rsid w:val="00EC5C13"/>
    <w:rsid w:val="00EC68FF"/>
    <w:rsid w:val="00EC6D34"/>
    <w:rsid w:val="00EC70F9"/>
    <w:rsid w:val="00ED5090"/>
    <w:rsid w:val="00ED5106"/>
    <w:rsid w:val="00EE2F02"/>
    <w:rsid w:val="00EF32A0"/>
    <w:rsid w:val="00EF5ACD"/>
    <w:rsid w:val="00F00C9C"/>
    <w:rsid w:val="00F019BA"/>
    <w:rsid w:val="00F041A4"/>
    <w:rsid w:val="00F056CA"/>
    <w:rsid w:val="00F05EF2"/>
    <w:rsid w:val="00F1349E"/>
    <w:rsid w:val="00F211B9"/>
    <w:rsid w:val="00F24598"/>
    <w:rsid w:val="00F31966"/>
    <w:rsid w:val="00F35EE8"/>
    <w:rsid w:val="00F4020E"/>
    <w:rsid w:val="00F417B9"/>
    <w:rsid w:val="00F42344"/>
    <w:rsid w:val="00F467C7"/>
    <w:rsid w:val="00F56505"/>
    <w:rsid w:val="00F62CDC"/>
    <w:rsid w:val="00F63E5A"/>
    <w:rsid w:val="00F676E1"/>
    <w:rsid w:val="00F706A4"/>
    <w:rsid w:val="00F7141A"/>
    <w:rsid w:val="00F72094"/>
    <w:rsid w:val="00F75E28"/>
    <w:rsid w:val="00F818A0"/>
    <w:rsid w:val="00F83688"/>
    <w:rsid w:val="00F83A0E"/>
    <w:rsid w:val="00F95995"/>
    <w:rsid w:val="00F9720C"/>
    <w:rsid w:val="00FA087B"/>
    <w:rsid w:val="00FA6D20"/>
    <w:rsid w:val="00FA6D35"/>
    <w:rsid w:val="00FB4745"/>
    <w:rsid w:val="00FB61A9"/>
    <w:rsid w:val="00FB63A0"/>
    <w:rsid w:val="00FC2EFC"/>
    <w:rsid w:val="00FC2F5A"/>
    <w:rsid w:val="00FC3B99"/>
    <w:rsid w:val="00FD21BA"/>
    <w:rsid w:val="00FD768E"/>
    <w:rsid w:val="00FD7751"/>
    <w:rsid w:val="00FD785A"/>
    <w:rsid w:val="00FE03B6"/>
    <w:rsid w:val="00FE12F3"/>
    <w:rsid w:val="00FF2069"/>
    <w:rsid w:val="00FF4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D5155A3-7D16-487F-A228-3F6CB9DF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4A4"/>
    <w:rPr>
      <w:rFonts w:ascii="Times New Roman" w:hAnsi="Times New Roman" w:cs="Times New Roman"/>
      <w:kern w:val="0"/>
      <w:sz w:val="22"/>
    </w:rPr>
  </w:style>
  <w:style w:type="paragraph" w:styleId="1">
    <w:name w:val="heading 1"/>
    <w:basedOn w:val="a"/>
    <w:next w:val="a"/>
    <w:link w:val="10"/>
    <w:uiPriority w:val="9"/>
    <w:qFormat/>
    <w:rsid w:val="00DE34A4"/>
    <w:pPr>
      <w:keepNext/>
      <w:widowControl w:val="0"/>
      <w:spacing w:beforeLines="50" w:afterLines="50" w:line="360" w:lineRule="auto"/>
      <w:jc w:val="both"/>
      <w:outlineLvl w:val="0"/>
    </w:pPr>
    <w:rPr>
      <w:rFonts w:eastAsia="微软雅黑"/>
      <w:b/>
      <w:kern w:val="2"/>
      <w:sz w:val="28"/>
      <w:szCs w:val="28"/>
    </w:rPr>
  </w:style>
  <w:style w:type="paragraph" w:styleId="2">
    <w:name w:val="heading 2"/>
    <w:basedOn w:val="a"/>
    <w:next w:val="a"/>
    <w:link w:val="21"/>
    <w:uiPriority w:val="9"/>
    <w:unhideWhenUsed/>
    <w:qFormat/>
    <w:rsid w:val="00DE34A4"/>
    <w:pPr>
      <w:keepNext/>
      <w:keepLines/>
      <w:widowControl w:val="0"/>
      <w:spacing w:before="260" w:after="260" w:line="416" w:lineRule="auto"/>
      <w:jc w:val="both"/>
      <w:outlineLvl w:val="1"/>
    </w:pPr>
    <w:rPr>
      <w:rFonts w:ascii="Cambria" w:eastAsia="宋体" w:hAnsi="Cambria"/>
      <w:b/>
      <w:bCs/>
      <w:kern w:val="2"/>
      <w:sz w:val="32"/>
      <w:szCs w:val="32"/>
    </w:rPr>
  </w:style>
  <w:style w:type="paragraph" w:styleId="3">
    <w:name w:val="heading 3"/>
    <w:basedOn w:val="a"/>
    <w:next w:val="a"/>
    <w:link w:val="30"/>
    <w:uiPriority w:val="9"/>
    <w:unhideWhenUsed/>
    <w:qFormat/>
    <w:rsid w:val="00DE34A4"/>
    <w:pPr>
      <w:keepNext/>
      <w:keepLines/>
      <w:widowControl w:val="0"/>
      <w:spacing w:line="360" w:lineRule="auto"/>
      <w:ind w:left="566" w:hangingChars="235" w:hanging="566"/>
      <w:outlineLvl w:val="2"/>
    </w:pPr>
    <w:rPr>
      <w:rFonts w:eastAsia="楷体"/>
      <w:b/>
      <w:bCs/>
      <w:kern w:val="2"/>
      <w:sz w:val="24"/>
      <w:szCs w:val="24"/>
    </w:rPr>
  </w:style>
  <w:style w:type="paragraph" w:styleId="5">
    <w:name w:val="heading 5"/>
    <w:basedOn w:val="a"/>
    <w:next w:val="a"/>
    <w:link w:val="50"/>
    <w:uiPriority w:val="9"/>
    <w:unhideWhenUsed/>
    <w:qFormat/>
    <w:rsid w:val="00DE34A4"/>
    <w:pPr>
      <w:keepNext/>
      <w:keepLines/>
      <w:widowControl w:val="0"/>
      <w:numPr>
        <w:numId w:val="1"/>
      </w:numPr>
      <w:spacing w:afterLines="50" w:line="360" w:lineRule="auto"/>
      <w:ind w:left="0" w:firstLine="0"/>
      <w:jc w:val="center"/>
      <w:outlineLvl w:val="4"/>
    </w:pPr>
    <w:rPr>
      <w:rFonts w:ascii="楷体" w:eastAsia="楷体" w:hAnsi="楷体"/>
      <w:b/>
      <w:bCs/>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DE34A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DE34A4"/>
    <w:rPr>
      <w:sz w:val="18"/>
      <w:szCs w:val="18"/>
    </w:rPr>
  </w:style>
  <w:style w:type="paragraph" w:styleId="a5">
    <w:name w:val="footer"/>
    <w:basedOn w:val="a"/>
    <w:link w:val="a6"/>
    <w:uiPriority w:val="99"/>
    <w:unhideWhenUsed/>
    <w:qFormat/>
    <w:rsid w:val="00DE34A4"/>
    <w:pPr>
      <w:tabs>
        <w:tab w:val="center" w:pos="4153"/>
        <w:tab w:val="right" w:pos="8306"/>
      </w:tabs>
      <w:snapToGrid w:val="0"/>
    </w:pPr>
    <w:rPr>
      <w:sz w:val="18"/>
      <w:szCs w:val="18"/>
    </w:rPr>
  </w:style>
  <w:style w:type="character" w:customStyle="1" w:styleId="a6">
    <w:name w:val="页脚 字符"/>
    <w:basedOn w:val="a0"/>
    <w:link w:val="a5"/>
    <w:uiPriority w:val="99"/>
    <w:qFormat/>
    <w:rsid w:val="00DE34A4"/>
    <w:rPr>
      <w:sz w:val="18"/>
      <w:szCs w:val="18"/>
    </w:rPr>
  </w:style>
  <w:style w:type="character" w:customStyle="1" w:styleId="10">
    <w:name w:val="标题 1 字符"/>
    <w:basedOn w:val="a0"/>
    <w:link w:val="1"/>
    <w:uiPriority w:val="9"/>
    <w:qFormat/>
    <w:rsid w:val="00DE34A4"/>
    <w:rPr>
      <w:rFonts w:ascii="Times New Roman" w:eastAsia="微软雅黑" w:hAnsi="Times New Roman" w:cs="Times New Roman"/>
      <w:b/>
      <w:sz w:val="28"/>
      <w:szCs w:val="28"/>
    </w:rPr>
  </w:style>
  <w:style w:type="character" w:customStyle="1" w:styleId="20">
    <w:name w:val="标题 2 字符"/>
    <w:basedOn w:val="a0"/>
    <w:uiPriority w:val="9"/>
    <w:semiHidden/>
    <w:rsid w:val="00DE34A4"/>
    <w:rPr>
      <w:rFonts w:asciiTheme="majorHAnsi" w:eastAsiaTheme="majorEastAsia" w:hAnsiTheme="majorHAnsi" w:cstheme="majorBidi"/>
      <w:b/>
      <w:bCs/>
      <w:kern w:val="0"/>
      <w:sz w:val="32"/>
      <w:szCs w:val="32"/>
    </w:rPr>
  </w:style>
  <w:style w:type="character" w:customStyle="1" w:styleId="30">
    <w:name w:val="标题 3 字符"/>
    <w:basedOn w:val="a0"/>
    <w:link w:val="3"/>
    <w:uiPriority w:val="9"/>
    <w:qFormat/>
    <w:rsid w:val="00DE34A4"/>
    <w:rPr>
      <w:rFonts w:ascii="Times New Roman" w:eastAsia="楷体" w:hAnsi="Times New Roman" w:cs="Times New Roman"/>
      <w:b/>
      <w:bCs/>
      <w:sz w:val="24"/>
      <w:szCs w:val="24"/>
    </w:rPr>
  </w:style>
  <w:style w:type="character" w:customStyle="1" w:styleId="50">
    <w:name w:val="标题 5 字符"/>
    <w:basedOn w:val="a0"/>
    <w:link w:val="5"/>
    <w:uiPriority w:val="9"/>
    <w:qFormat/>
    <w:rsid w:val="00DE34A4"/>
    <w:rPr>
      <w:rFonts w:ascii="楷体" w:eastAsia="楷体" w:hAnsi="楷体" w:cs="Times New Roman"/>
      <w:b/>
      <w:bCs/>
      <w:szCs w:val="21"/>
    </w:rPr>
  </w:style>
  <w:style w:type="paragraph" w:styleId="a7">
    <w:name w:val="List Paragraph"/>
    <w:basedOn w:val="a"/>
    <w:link w:val="a8"/>
    <w:uiPriority w:val="34"/>
    <w:qFormat/>
    <w:rsid w:val="00DE34A4"/>
    <w:pPr>
      <w:ind w:firstLineChars="200" w:firstLine="420"/>
    </w:pPr>
  </w:style>
  <w:style w:type="character" w:customStyle="1" w:styleId="21">
    <w:name w:val="标题 2 字符1"/>
    <w:basedOn w:val="a0"/>
    <w:link w:val="2"/>
    <w:uiPriority w:val="9"/>
    <w:qFormat/>
    <w:rsid w:val="00DE34A4"/>
    <w:rPr>
      <w:rFonts w:ascii="Cambria" w:eastAsia="宋体" w:hAnsi="Cambria" w:cs="Times New Roman"/>
      <w:b/>
      <w:bCs/>
      <w:sz w:val="32"/>
      <w:szCs w:val="32"/>
    </w:rPr>
  </w:style>
  <w:style w:type="paragraph" w:customStyle="1" w:styleId="MTDisplayEquation">
    <w:name w:val="MTDisplayEquation"/>
    <w:basedOn w:val="a7"/>
    <w:next w:val="a"/>
    <w:uiPriority w:val="99"/>
    <w:qFormat/>
    <w:rsid w:val="00DE34A4"/>
    <w:pPr>
      <w:numPr>
        <w:numId w:val="2"/>
      </w:numPr>
      <w:spacing w:line="360" w:lineRule="auto"/>
      <w:ind w:firstLineChars="0" w:firstLine="0"/>
      <w:jc w:val="both"/>
    </w:pPr>
    <w:rPr>
      <w:rFonts w:eastAsia="楷体"/>
      <w:sz w:val="24"/>
      <w:szCs w:val="24"/>
    </w:rPr>
  </w:style>
  <w:style w:type="paragraph" w:styleId="a9">
    <w:name w:val="No Spacing"/>
    <w:uiPriority w:val="1"/>
    <w:qFormat/>
    <w:rsid w:val="00DE34A4"/>
    <w:pPr>
      <w:widowControl w:val="0"/>
      <w:jc w:val="center"/>
    </w:pPr>
    <w:rPr>
      <w:rFonts w:ascii="楷体" w:eastAsia="楷体" w:hAnsi="楷体" w:cs="Times New Roman"/>
      <w:sz w:val="24"/>
      <w:szCs w:val="24"/>
    </w:rPr>
  </w:style>
  <w:style w:type="character" w:customStyle="1" w:styleId="a8">
    <w:name w:val="列出段落 字符"/>
    <w:link w:val="a7"/>
    <w:uiPriority w:val="34"/>
    <w:qFormat/>
    <w:rsid w:val="00DE34A4"/>
    <w:rPr>
      <w:rFonts w:ascii="Times New Roman" w:hAnsi="Times New Roman"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wmf"/><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oleObject" Target="embeddings/oleObject2.bin"/><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0.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wmf"/><Relationship Id="rId32" Type="http://schemas.openxmlformats.org/officeDocument/2006/relationships/oleObject" Target="embeddings/oleObject4.bin"/><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oleObject" Target="embeddings/oleObject1.bin"/><Relationship Id="rId28" Type="http://schemas.openxmlformats.org/officeDocument/2006/relationships/image" Target="media/image19.wmf"/><Relationship Id="rId36"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2.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oleObject" Target="embeddings/oleObject3.bin"/><Relationship Id="rId30" Type="http://schemas.openxmlformats.org/officeDocument/2006/relationships/image" Target="media/image21.wmf"/><Relationship Id="rId35"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1354</Words>
  <Characters>7723</Characters>
  <Application>Microsoft Office Word</Application>
  <DocSecurity>0</DocSecurity>
  <Lines>64</Lines>
  <Paragraphs>18</Paragraphs>
  <ScaleCrop>false</ScaleCrop>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2023-05-05T07:44:00Z</dcterms:created>
  <dcterms:modified xsi:type="dcterms:W3CDTF">2023-05-05T07:45:00Z</dcterms:modified>
</cp:coreProperties>
</file>